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D6F" w:rsidRPr="00C12696" w:rsidRDefault="00CD5D6F" w:rsidP="00CD5D6F">
      <w:pPr>
        <w:spacing w:line="360" w:lineRule="auto"/>
        <w:ind w:right="278"/>
        <w:jc w:val="center"/>
        <w:rPr>
          <w:rFonts w:ascii="Times New Roman" w:hAnsi="Times New Roman" w:cs="Times New Roman"/>
          <w:b/>
          <w:sz w:val="32"/>
          <w:szCs w:val="32"/>
          <w:lang w:val="lt-LT"/>
        </w:rPr>
      </w:pPr>
      <w:r>
        <w:rPr>
          <w:rFonts w:ascii="Times New Roman" w:hAnsi="Times New Roman" w:cs="Times New Roman"/>
          <w:b/>
          <w:sz w:val="32"/>
          <w:szCs w:val="32"/>
          <w:lang w:val="lt-LT"/>
        </w:rPr>
        <w:t xml:space="preserve">2. </w:t>
      </w:r>
      <w:r w:rsidRPr="00C12696">
        <w:rPr>
          <w:rFonts w:ascii="Times New Roman" w:hAnsi="Times New Roman" w:cs="Times New Roman"/>
          <w:b/>
          <w:sz w:val="32"/>
          <w:szCs w:val="32"/>
          <w:lang w:val="lt-LT"/>
        </w:rPr>
        <w:t>KŪRYBINĖS UŽDUOTYS KAIP DRAUSMĖS PROBLEMŲ ĮVEIKOS PRADINĖS MOKYKLOS 1 – 4 KLASIŲ MUZIKOS PAMOKOSE: EMPIRINIS TYRIMAS</w:t>
      </w:r>
    </w:p>
    <w:p w:rsidR="00CD5D6F" w:rsidRPr="00C12696" w:rsidRDefault="00CD5D6F" w:rsidP="00CD5D6F">
      <w:pPr>
        <w:spacing w:line="360" w:lineRule="auto"/>
        <w:ind w:right="278"/>
        <w:jc w:val="center"/>
        <w:rPr>
          <w:rFonts w:ascii="Times New Roman" w:hAnsi="Times New Roman" w:cs="Times New Roman"/>
          <w:b/>
          <w:sz w:val="32"/>
          <w:szCs w:val="32"/>
          <w:lang w:val="lt-LT"/>
        </w:rPr>
      </w:pPr>
    </w:p>
    <w:p w:rsidR="00CD5D6F" w:rsidRPr="00C12696" w:rsidRDefault="00CD5D6F" w:rsidP="00CD5D6F">
      <w:pPr>
        <w:spacing w:line="360" w:lineRule="auto"/>
        <w:ind w:left="360" w:right="278"/>
        <w:jc w:val="center"/>
        <w:rPr>
          <w:rFonts w:ascii="Times New Roman" w:hAnsi="Times New Roman" w:cs="Times New Roman"/>
          <w:b/>
          <w:sz w:val="28"/>
          <w:szCs w:val="28"/>
          <w:lang w:val="lt-LT"/>
        </w:rPr>
      </w:pPr>
      <w:r w:rsidRPr="00C12696">
        <w:rPr>
          <w:rFonts w:ascii="Times New Roman" w:hAnsi="Times New Roman" w:cs="Times New Roman"/>
          <w:b/>
          <w:sz w:val="28"/>
          <w:szCs w:val="28"/>
          <w:lang w:val="lt-LT"/>
        </w:rPr>
        <w:t>2.1 TYRIMO METODOLOGIJA</w:t>
      </w:r>
    </w:p>
    <w:p w:rsidR="00CD5D6F" w:rsidRPr="00C12696" w:rsidRDefault="00CD5D6F" w:rsidP="00CD5D6F">
      <w:pPr>
        <w:spacing w:line="360" w:lineRule="auto"/>
        <w:ind w:left="360" w:right="278"/>
        <w:jc w:val="center"/>
        <w:rPr>
          <w:rFonts w:ascii="Times New Roman" w:hAnsi="Times New Roman" w:cs="Times New Roman"/>
          <w:sz w:val="28"/>
          <w:szCs w:val="28"/>
          <w:lang w:val="lt-LT"/>
        </w:rPr>
      </w:pPr>
    </w:p>
    <w:p w:rsidR="00CD5D6F" w:rsidRPr="00C12696" w:rsidRDefault="00CD5D6F" w:rsidP="00CD5D6F">
      <w:pPr>
        <w:spacing w:after="0" w:line="360" w:lineRule="auto"/>
        <w:ind w:right="278"/>
        <w:jc w:val="both"/>
        <w:rPr>
          <w:rFonts w:ascii="Times New Roman" w:hAnsi="Times New Roman" w:cs="Times New Roman"/>
          <w:sz w:val="24"/>
          <w:szCs w:val="24"/>
          <w:lang w:val="lt-LT"/>
        </w:rPr>
      </w:pPr>
      <w:r w:rsidRPr="00C12696">
        <w:rPr>
          <w:rFonts w:ascii="Times New Roman" w:hAnsi="Times New Roman" w:cs="Times New Roman"/>
          <w:sz w:val="24"/>
          <w:szCs w:val="24"/>
          <w:lang w:val="lt-LT"/>
        </w:rPr>
        <w:t xml:space="preserve">        Pasak R. Jones ir D. </w:t>
      </w:r>
      <w:proofErr w:type="spellStart"/>
      <w:r w:rsidRPr="00C12696">
        <w:rPr>
          <w:rFonts w:ascii="Times New Roman" w:hAnsi="Times New Roman" w:cs="Times New Roman"/>
          <w:sz w:val="24"/>
          <w:szCs w:val="24"/>
          <w:lang w:val="lt-LT"/>
        </w:rPr>
        <w:t>Wyse</w:t>
      </w:r>
      <w:proofErr w:type="spellEnd"/>
      <w:r w:rsidRPr="00C12696">
        <w:rPr>
          <w:rFonts w:ascii="Times New Roman" w:hAnsi="Times New Roman" w:cs="Times New Roman"/>
          <w:sz w:val="24"/>
          <w:szCs w:val="24"/>
          <w:lang w:val="lt-LT"/>
        </w:rPr>
        <w:t xml:space="preserve">  kūrybiškumas muzikos pamokose yra susijęs su organizuojamu darbu, tai yra su kūrybinėmis užduotimis (2013). Kūrybinės veiklos ieškojimas neapsieina be mokytojo atsidavimo, ryžto, užsispyrimo bei užsibrėžtų tikslų. Taigi, naujų metodų ir būdų paieška skatina mokytojus į darbo procesą pažvelgti kūrybiškai, kas, galimai inspiruoja kūrybiškas mokinių veiklas, padedančias susitvarkyti su neretai klasėje iškylančiomis drausmės problemomis. Siekiant išsiaiškinti kūrybiškumo, kūrybinių užduočių ir drausmės įveikų ryšį, 2016 metais kovo mėnesį buvo atliktas tyrimas</w:t>
      </w:r>
      <w:r>
        <w:rPr>
          <w:rFonts w:ascii="Times New Roman" w:hAnsi="Times New Roman" w:cs="Times New Roman"/>
          <w:sz w:val="24"/>
          <w:szCs w:val="24"/>
          <w:lang w:val="lt-LT"/>
        </w:rPr>
        <w:t>,</w:t>
      </w:r>
      <w:r w:rsidRPr="00C12696">
        <w:rPr>
          <w:rFonts w:ascii="Times New Roman" w:hAnsi="Times New Roman" w:cs="Times New Roman"/>
          <w:sz w:val="24"/>
          <w:szCs w:val="24"/>
          <w:lang w:val="lt-LT"/>
        </w:rPr>
        <w:t xml:space="preserve"> trukęs dvi savaites. Tyrimas buvo grindžiamas apibrėžta metodologine logika ir empirinio tyrimo metodika:</w:t>
      </w:r>
    </w:p>
    <w:p w:rsidR="00CD5D6F" w:rsidRPr="00C12696" w:rsidRDefault="00CD5D6F" w:rsidP="00CD5D6F">
      <w:pPr>
        <w:pStyle w:val="ListParagraph"/>
        <w:numPr>
          <w:ilvl w:val="0"/>
          <w:numId w:val="1"/>
        </w:numPr>
        <w:spacing w:after="0" w:line="360" w:lineRule="auto"/>
        <w:ind w:right="278"/>
        <w:jc w:val="both"/>
        <w:rPr>
          <w:rFonts w:ascii="Times New Roman" w:hAnsi="Times New Roman" w:cs="Times New Roman"/>
          <w:sz w:val="24"/>
          <w:szCs w:val="24"/>
          <w:lang w:val="lt-LT"/>
        </w:rPr>
      </w:pPr>
      <w:r w:rsidRPr="00C12696">
        <w:rPr>
          <w:rFonts w:ascii="Times New Roman" w:hAnsi="Times New Roman" w:cs="Times New Roman"/>
          <w:sz w:val="24"/>
          <w:szCs w:val="24"/>
          <w:lang w:val="lt-LT"/>
        </w:rPr>
        <w:t xml:space="preserve">Siekdama išsiaiškinti drausmės </w:t>
      </w:r>
      <w:proofErr w:type="spellStart"/>
      <w:r w:rsidRPr="00C12696">
        <w:rPr>
          <w:rFonts w:ascii="Times New Roman" w:hAnsi="Times New Roman" w:cs="Times New Roman"/>
          <w:sz w:val="24"/>
          <w:szCs w:val="24"/>
          <w:lang w:val="lt-LT"/>
        </w:rPr>
        <w:t>įveikas</w:t>
      </w:r>
      <w:proofErr w:type="spellEnd"/>
      <w:r w:rsidRPr="00C12696">
        <w:rPr>
          <w:rFonts w:ascii="Times New Roman" w:hAnsi="Times New Roman" w:cs="Times New Roman"/>
          <w:sz w:val="24"/>
          <w:szCs w:val="24"/>
          <w:lang w:val="lt-LT"/>
        </w:rPr>
        <w:t xml:space="preserve"> kūrybinių veiklų pagalba, tyrėja analizavo drausmės problemas psichologijoje ir edukologijoje. Buvo išstudijuota metodinė, mokslinė literatūra, taip pat, buvo remtasi asmenine bei kitų mokytojų patirtimi ugdymo įstaigose.   </w:t>
      </w:r>
    </w:p>
    <w:p w:rsidR="00CD5D6F" w:rsidRPr="00C12696" w:rsidRDefault="00CD5D6F" w:rsidP="00CD5D6F">
      <w:pPr>
        <w:pStyle w:val="ListParagraph"/>
        <w:numPr>
          <w:ilvl w:val="0"/>
          <w:numId w:val="1"/>
        </w:numPr>
        <w:spacing w:after="0" w:line="360" w:lineRule="auto"/>
        <w:ind w:right="278"/>
        <w:jc w:val="both"/>
        <w:rPr>
          <w:rFonts w:ascii="Times New Roman" w:hAnsi="Times New Roman" w:cs="Times New Roman"/>
          <w:sz w:val="24"/>
          <w:szCs w:val="24"/>
          <w:lang w:val="lt-LT"/>
        </w:rPr>
      </w:pPr>
      <w:r w:rsidRPr="00C12696">
        <w:rPr>
          <w:rFonts w:ascii="Times New Roman" w:hAnsi="Times New Roman" w:cs="Times New Roman"/>
          <w:sz w:val="24"/>
          <w:szCs w:val="24"/>
          <w:lang w:val="lt-LT"/>
        </w:rPr>
        <w:t xml:space="preserve">Buvo pasirinkta kokybinio tyrimo strategija – stebėjimas, kuriuo siekta patikrinti vaikų elgesio pokyčius, taikant kūrybines užduotis, patvirtinti arba paneigti iškeltą hipotezę. Hipotezė teigė, kad kūrybinės veiksenos, kūrybiškumas, ne tik ugdo, bet ir padeda įveikti elgesio problemas bendrajame ugdyme. </w:t>
      </w:r>
    </w:p>
    <w:p w:rsidR="00CD5D6F" w:rsidRPr="00C12696" w:rsidRDefault="00CD5D6F" w:rsidP="00CD5D6F">
      <w:pPr>
        <w:pStyle w:val="ListParagraph"/>
        <w:numPr>
          <w:ilvl w:val="0"/>
          <w:numId w:val="1"/>
        </w:numPr>
        <w:spacing w:after="0" w:line="360" w:lineRule="auto"/>
        <w:ind w:right="278"/>
        <w:jc w:val="both"/>
        <w:rPr>
          <w:rFonts w:ascii="Times New Roman" w:hAnsi="Times New Roman" w:cs="Times New Roman"/>
          <w:sz w:val="24"/>
          <w:szCs w:val="24"/>
          <w:lang w:val="lt-LT"/>
        </w:rPr>
      </w:pPr>
      <w:r w:rsidRPr="00C12696">
        <w:rPr>
          <w:rFonts w:ascii="Times New Roman" w:hAnsi="Times New Roman" w:cs="Times New Roman"/>
          <w:sz w:val="24"/>
          <w:szCs w:val="24"/>
          <w:lang w:val="lt-LT"/>
        </w:rPr>
        <w:t>Kūrybinės užduotys atrinktos pagal muzikos pamokoje organizuojamas muzikines veiksenas: muzikos klausymą, vokalinį muzikavimą, ritmiką, instrumentinį muzikavimą. Kūrybinių užduočių pavyzdžiai pateikti 3 priede (žr. p. 60).</w:t>
      </w:r>
    </w:p>
    <w:p w:rsidR="00CD5D6F" w:rsidRPr="00C12696" w:rsidRDefault="00CD5D6F" w:rsidP="00CD5D6F">
      <w:pPr>
        <w:pStyle w:val="ListParagraph"/>
        <w:numPr>
          <w:ilvl w:val="0"/>
          <w:numId w:val="1"/>
        </w:numPr>
        <w:spacing w:after="0" w:line="360" w:lineRule="auto"/>
        <w:ind w:right="278"/>
        <w:jc w:val="both"/>
        <w:rPr>
          <w:rFonts w:ascii="Times New Roman" w:hAnsi="Times New Roman" w:cs="Times New Roman"/>
          <w:sz w:val="24"/>
          <w:szCs w:val="24"/>
          <w:lang w:val="lt-LT"/>
        </w:rPr>
      </w:pPr>
      <w:r w:rsidRPr="00C12696">
        <w:rPr>
          <w:rFonts w:ascii="Times New Roman" w:hAnsi="Times New Roman" w:cs="Times New Roman"/>
          <w:sz w:val="24"/>
          <w:szCs w:val="24"/>
          <w:lang w:val="lt-LT"/>
        </w:rPr>
        <w:t xml:space="preserve">Tyrime dalyvavo keturi mokiniai, kurie buvo atrinkti iš 1 – 4 klasės, vienas vaikas iš pirmos klasės, antras – antros ir t.t. Vaikai atrinkti remiantis nedrausmingo elgesio kriterijais: pastovus triukšmavimas pamokoje, trukdymas kitiems, užduočių neatlikimas pamokos metu ir t.t. Vaikus atrinko muzikos mokytoja – tyrimo autorė.  </w:t>
      </w:r>
    </w:p>
    <w:p w:rsidR="00CD5D6F" w:rsidRPr="00C12696" w:rsidRDefault="00CD5D6F" w:rsidP="00CD5D6F">
      <w:pPr>
        <w:spacing w:after="0" w:line="360" w:lineRule="auto"/>
        <w:ind w:right="278"/>
        <w:jc w:val="both"/>
        <w:rPr>
          <w:rFonts w:ascii="Times New Roman" w:hAnsi="Times New Roman" w:cs="Times New Roman"/>
          <w:sz w:val="24"/>
          <w:szCs w:val="24"/>
          <w:lang w:val="lt-LT"/>
        </w:rPr>
      </w:pPr>
      <w:r w:rsidRPr="00C12696">
        <w:rPr>
          <w:rFonts w:ascii="Times New Roman" w:hAnsi="Times New Roman" w:cs="Times New Roman"/>
          <w:sz w:val="24"/>
          <w:szCs w:val="24"/>
          <w:lang w:val="lt-LT"/>
        </w:rPr>
        <w:t xml:space="preserve">      </w:t>
      </w:r>
    </w:p>
    <w:p w:rsidR="00CD5D6F" w:rsidRPr="00C12696" w:rsidRDefault="00CD5D6F" w:rsidP="00CD5D6F">
      <w:pPr>
        <w:spacing w:after="0" w:line="360" w:lineRule="auto"/>
        <w:ind w:right="278"/>
        <w:jc w:val="both"/>
        <w:rPr>
          <w:rFonts w:ascii="Times New Roman" w:hAnsi="Times New Roman" w:cs="Times New Roman"/>
          <w:sz w:val="24"/>
          <w:szCs w:val="24"/>
          <w:lang w:val="lt-LT"/>
        </w:rPr>
      </w:pPr>
      <w:r w:rsidRPr="00C12696">
        <w:rPr>
          <w:rFonts w:ascii="Times New Roman" w:hAnsi="Times New Roman" w:cs="Times New Roman"/>
          <w:sz w:val="24"/>
          <w:szCs w:val="24"/>
          <w:lang w:val="lt-LT"/>
        </w:rPr>
        <w:lastRenderedPageBreak/>
        <w:t xml:space="preserve">        Remiantis metodinės, mokslinės literatūros analize, buvo sudarytas mokinių elgesio stebėjimo protokolas. Stebėjimo protokole buvo išskirtos galimos mokinių reagavimo į muzikines veiksenas ir kūrybinių  užduočių atlikimo kategorijos, kurios išsišakojo į tam tikrus elgesio ir užduočių atlikimo kriterijus. Remiantis sudarytomis kategorijomis ir kriterijais siekta ištirti mokinių elgesį taikant kūrybines užduotis. </w:t>
      </w:r>
      <w:r w:rsidRPr="00C12696">
        <w:rPr>
          <w:rFonts w:ascii="Times New Roman" w:hAnsi="Times New Roman" w:cs="Times New Roman"/>
          <w:i/>
          <w:sz w:val="24"/>
          <w:szCs w:val="24"/>
          <w:lang w:val="lt-LT"/>
        </w:rPr>
        <w:t>Lentelėje 2.1.1</w:t>
      </w:r>
      <w:r w:rsidRPr="00C12696">
        <w:rPr>
          <w:rFonts w:ascii="Times New Roman" w:hAnsi="Times New Roman" w:cs="Times New Roman"/>
          <w:sz w:val="24"/>
          <w:szCs w:val="24"/>
          <w:lang w:val="lt-LT"/>
        </w:rPr>
        <w:t xml:space="preserve">  pateiktas susistemintas stebėjimo protokolo turinys</w:t>
      </w:r>
      <w:r w:rsidRPr="00C12696">
        <w:rPr>
          <w:rFonts w:ascii="Times New Roman" w:hAnsi="Times New Roman" w:cs="Times New Roman"/>
          <w:i/>
          <w:sz w:val="24"/>
          <w:szCs w:val="24"/>
          <w:lang w:val="lt-LT"/>
        </w:rPr>
        <w:t>.</w:t>
      </w:r>
      <w:r w:rsidRPr="00C12696">
        <w:rPr>
          <w:rFonts w:ascii="Times New Roman" w:hAnsi="Times New Roman" w:cs="Times New Roman"/>
          <w:sz w:val="24"/>
          <w:szCs w:val="24"/>
          <w:lang w:val="lt-LT"/>
        </w:rPr>
        <w:t xml:space="preserve"> </w:t>
      </w:r>
    </w:p>
    <w:p w:rsidR="00CD5D6F" w:rsidRPr="00C12696" w:rsidRDefault="00CD5D6F" w:rsidP="00CD5D6F">
      <w:pPr>
        <w:spacing w:after="0" w:line="360" w:lineRule="auto"/>
        <w:ind w:right="278"/>
        <w:jc w:val="center"/>
        <w:rPr>
          <w:rFonts w:ascii="Times New Roman" w:hAnsi="Times New Roman" w:cs="Times New Roman"/>
          <w:i/>
          <w:sz w:val="24"/>
          <w:szCs w:val="24"/>
          <w:lang w:val="lt-LT"/>
        </w:rPr>
      </w:pPr>
      <w:r w:rsidRPr="00C12696">
        <w:rPr>
          <w:rFonts w:ascii="Times New Roman" w:hAnsi="Times New Roman" w:cs="Times New Roman"/>
          <w:i/>
          <w:sz w:val="24"/>
          <w:szCs w:val="24"/>
          <w:lang w:val="lt-LT"/>
        </w:rPr>
        <w:t xml:space="preserve">                                                                                                                       </w:t>
      </w:r>
    </w:p>
    <w:p w:rsidR="00CD5D6F" w:rsidRPr="00C12696" w:rsidRDefault="00CD5D6F" w:rsidP="00CD5D6F">
      <w:pPr>
        <w:spacing w:after="0" w:line="360" w:lineRule="auto"/>
        <w:ind w:right="278"/>
        <w:jc w:val="center"/>
        <w:rPr>
          <w:rFonts w:ascii="Times New Roman" w:hAnsi="Times New Roman" w:cs="Times New Roman"/>
          <w:i/>
          <w:sz w:val="24"/>
          <w:szCs w:val="24"/>
          <w:lang w:val="lt-LT"/>
        </w:rPr>
      </w:pPr>
      <w:r w:rsidRPr="00C12696">
        <w:rPr>
          <w:rFonts w:ascii="Times New Roman" w:hAnsi="Times New Roman" w:cs="Times New Roman"/>
          <w:i/>
          <w:sz w:val="24"/>
          <w:szCs w:val="24"/>
          <w:lang w:val="lt-LT"/>
        </w:rPr>
        <w:t xml:space="preserve">                                                                                                                               2.1.1 lentelė</w:t>
      </w:r>
    </w:p>
    <w:p w:rsidR="00CD5D6F" w:rsidRPr="00C12696" w:rsidRDefault="00CD5D6F" w:rsidP="00CD5D6F">
      <w:pPr>
        <w:spacing w:after="0" w:line="360" w:lineRule="auto"/>
        <w:ind w:right="278"/>
        <w:jc w:val="center"/>
        <w:rPr>
          <w:rFonts w:ascii="Times New Roman" w:hAnsi="Times New Roman" w:cs="Times New Roman"/>
          <w:b/>
          <w:sz w:val="24"/>
          <w:szCs w:val="24"/>
          <w:lang w:val="lt-LT"/>
        </w:rPr>
      </w:pPr>
      <w:r w:rsidRPr="00C12696">
        <w:rPr>
          <w:rFonts w:ascii="Times New Roman" w:hAnsi="Times New Roman" w:cs="Times New Roman"/>
          <w:b/>
          <w:sz w:val="24"/>
          <w:szCs w:val="24"/>
          <w:lang w:val="lt-LT"/>
        </w:rPr>
        <w:t>Stebėjimo protokolo turinys</w:t>
      </w:r>
    </w:p>
    <w:p w:rsidR="00CD5D6F" w:rsidRPr="00C12696" w:rsidRDefault="00CD5D6F" w:rsidP="00CD5D6F">
      <w:pPr>
        <w:spacing w:after="0" w:line="360" w:lineRule="auto"/>
        <w:ind w:right="278"/>
        <w:jc w:val="both"/>
        <w:rPr>
          <w:rFonts w:ascii="Times New Roman" w:hAnsi="Times New Roman" w:cs="Times New Roman"/>
          <w:sz w:val="24"/>
          <w:szCs w:val="24"/>
          <w:lang w:val="lt-LT"/>
        </w:rPr>
      </w:pPr>
      <w:r w:rsidRPr="00C12696">
        <w:rPr>
          <w:rFonts w:ascii="Times New Roman" w:hAnsi="Times New Roman" w:cs="Times New Roman"/>
          <w:sz w:val="24"/>
          <w:szCs w:val="24"/>
          <w:lang w:val="lt-LT"/>
        </w:rPr>
        <w:t xml:space="preserve">                                                                                                                              </w:t>
      </w:r>
    </w:p>
    <w:tbl>
      <w:tblPr>
        <w:tblStyle w:val="LightList-Accent5"/>
        <w:tblpPr w:leftFromText="180" w:rightFromText="180" w:vertAnchor="text" w:tblpX="108" w:tblpY="1"/>
        <w:tblOverlap w:val="never"/>
        <w:tblW w:w="0" w:type="auto"/>
        <w:tblLook w:val="0620"/>
      </w:tblPr>
      <w:tblGrid>
        <w:gridCol w:w="4454"/>
        <w:gridCol w:w="4585"/>
      </w:tblGrid>
      <w:tr w:rsidR="00CD5D6F" w:rsidRPr="00C12696" w:rsidTr="005C04C9">
        <w:trPr>
          <w:cnfStyle w:val="100000000000"/>
        </w:trPr>
        <w:tc>
          <w:tcPr>
            <w:tcW w:w="4454" w:type="dxa"/>
          </w:tcPr>
          <w:p w:rsidR="00CD5D6F" w:rsidRPr="00C12696" w:rsidRDefault="00CD5D6F" w:rsidP="005C04C9">
            <w:pPr>
              <w:spacing w:line="360" w:lineRule="auto"/>
              <w:ind w:right="278"/>
              <w:rPr>
                <w:rFonts w:ascii="Times New Roman" w:hAnsi="Times New Roman" w:cs="Times New Roman"/>
                <w:sz w:val="20"/>
                <w:szCs w:val="20"/>
                <w:lang w:val="lt-LT"/>
              </w:rPr>
            </w:pPr>
            <w:r w:rsidRPr="00C12696">
              <w:rPr>
                <w:rFonts w:ascii="Times New Roman" w:hAnsi="Times New Roman" w:cs="Times New Roman"/>
                <w:sz w:val="20"/>
                <w:szCs w:val="20"/>
                <w:lang w:val="lt-LT"/>
              </w:rPr>
              <w:t>ELGESYS</w:t>
            </w:r>
          </w:p>
        </w:tc>
        <w:tc>
          <w:tcPr>
            <w:tcW w:w="4585" w:type="dxa"/>
          </w:tcPr>
          <w:p w:rsidR="00CD5D6F" w:rsidRPr="00C12696" w:rsidRDefault="00CD5D6F" w:rsidP="00CD5D6F">
            <w:pPr>
              <w:spacing w:line="360" w:lineRule="auto"/>
              <w:ind w:right="278"/>
              <w:rPr>
                <w:rFonts w:ascii="Times New Roman" w:hAnsi="Times New Roman" w:cs="Times New Roman"/>
                <w:sz w:val="20"/>
                <w:szCs w:val="20"/>
                <w:lang w:val="lt-LT"/>
              </w:rPr>
            </w:pPr>
            <w:r w:rsidRPr="00C12696">
              <w:rPr>
                <w:rFonts w:ascii="Times New Roman" w:hAnsi="Times New Roman" w:cs="Times New Roman"/>
                <w:sz w:val="20"/>
                <w:szCs w:val="20"/>
                <w:lang w:val="lt-LT"/>
              </w:rPr>
              <w:t xml:space="preserve">MOKINIŲ VEIKLOS </w:t>
            </w:r>
            <w:r>
              <w:rPr>
                <w:rFonts w:ascii="Times New Roman" w:hAnsi="Times New Roman" w:cs="Times New Roman"/>
                <w:sz w:val="20"/>
                <w:szCs w:val="20"/>
                <w:lang w:val="lt-LT"/>
              </w:rPr>
              <w:t>KOKYBĖ</w:t>
            </w:r>
          </w:p>
        </w:tc>
      </w:tr>
      <w:tr w:rsidR="00CD5D6F" w:rsidRPr="00C12696" w:rsidTr="005C04C9">
        <w:tc>
          <w:tcPr>
            <w:tcW w:w="4454" w:type="dxa"/>
          </w:tcPr>
          <w:p w:rsidR="00CD5D6F" w:rsidRPr="00C12696" w:rsidRDefault="00CD5D6F" w:rsidP="005C04C9">
            <w:pPr>
              <w:spacing w:line="360" w:lineRule="auto"/>
              <w:ind w:right="278"/>
              <w:rPr>
                <w:rFonts w:ascii="Times New Roman" w:hAnsi="Times New Roman" w:cs="Times New Roman"/>
                <w:sz w:val="20"/>
                <w:szCs w:val="20"/>
                <w:lang w:val="lt-LT"/>
              </w:rPr>
            </w:pPr>
            <w:r w:rsidRPr="00C12696">
              <w:rPr>
                <w:rFonts w:ascii="Times New Roman" w:hAnsi="Times New Roman" w:cs="Times New Roman"/>
                <w:sz w:val="20"/>
                <w:szCs w:val="20"/>
                <w:lang w:val="lt-LT"/>
              </w:rPr>
              <w:t>1. Elgesys ruošiantis pamokai;</w:t>
            </w:r>
          </w:p>
        </w:tc>
        <w:tc>
          <w:tcPr>
            <w:tcW w:w="4585" w:type="dxa"/>
          </w:tcPr>
          <w:p w:rsidR="00CD5D6F" w:rsidRPr="00C12696" w:rsidRDefault="00CD5D6F" w:rsidP="005C04C9">
            <w:pPr>
              <w:spacing w:line="360" w:lineRule="auto"/>
              <w:ind w:right="278"/>
              <w:rPr>
                <w:rFonts w:ascii="Times New Roman" w:hAnsi="Times New Roman" w:cs="Times New Roman"/>
                <w:sz w:val="20"/>
                <w:szCs w:val="20"/>
                <w:lang w:val="lt-LT"/>
              </w:rPr>
            </w:pPr>
            <w:r w:rsidRPr="00C12696">
              <w:rPr>
                <w:rFonts w:ascii="Times New Roman" w:hAnsi="Times New Roman" w:cs="Times New Roman"/>
                <w:sz w:val="20"/>
                <w:szCs w:val="20"/>
                <w:lang w:val="lt-LT"/>
              </w:rPr>
              <w:t>1. Užduoties atlikimo nuoseklumas;</w:t>
            </w:r>
          </w:p>
        </w:tc>
      </w:tr>
      <w:tr w:rsidR="00CD5D6F" w:rsidRPr="00C12696" w:rsidTr="005C04C9">
        <w:tc>
          <w:tcPr>
            <w:tcW w:w="4454" w:type="dxa"/>
          </w:tcPr>
          <w:p w:rsidR="00CD5D6F" w:rsidRPr="00C12696" w:rsidRDefault="00CD5D6F" w:rsidP="005C04C9">
            <w:pPr>
              <w:spacing w:line="360" w:lineRule="auto"/>
              <w:ind w:right="278"/>
              <w:rPr>
                <w:rFonts w:ascii="Times New Roman" w:hAnsi="Times New Roman" w:cs="Times New Roman"/>
                <w:sz w:val="20"/>
                <w:szCs w:val="20"/>
                <w:lang w:val="lt-LT"/>
              </w:rPr>
            </w:pPr>
            <w:r w:rsidRPr="00C12696">
              <w:rPr>
                <w:rFonts w:ascii="Times New Roman" w:hAnsi="Times New Roman" w:cs="Times New Roman"/>
                <w:sz w:val="20"/>
                <w:szCs w:val="20"/>
                <w:lang w:val="lt-LT"/>
              </w:rPr>
              <w:t xml:space="preserve">2. Dėmesys prieš užduoties </w:t>
            </w:r>
          </w:p>
          <w:p w:rsidR="00CD5D6F" w:rsidRPr="00C12696" w:rsidRDefault="00CD5D6F" w:rsidP="005C04C9">
            <w:pPr>
              <w:spacing w:line="360" w:lineRule="auto"/>
              <w:ind w:right="278"/>
              <w:rPr>
                <w:rFonts w:ascii="Times New Roman" w:hAnsi="Times New Roman" w:cs="Times New Roman"/>
                <w:sz w:val="20"/>
                <w:szCs w:val="20"/>
                <w:lang w:val="lt-LT"/>
              </w:rPr>
            </w:pPr>
            <w:r w:rsidRPr="00C12696">
              <w:rPr>
                <w:rFonts w:ascii="Times New Roman" w:hAnsi="Times New Roman" w:cs="Times New Roman"/>
                <w:sz w:val="20"/>
                <w:szCs w:val="20"/>
                <w:lang w:val="lt-LT"/>
              </w:rPr>
              <w:t xml:space="preserve">    paskelbimą;</w:t>
            </w:r>
          </w:p>
        </w:tc>
        <w:tc>
          <w:tcPr>
            <w:tcW w:w="4585" w:type="dxa"/>
          </w:tcPr>
          <w:p w:rsidR="00CD5D6F" w:rsidRPr="00C12696" w:rsidRDefault="00CD5D6F" w:rsidP="005C04C9">
            <w:pPr>
              <w:spacing w:line="360" w:lineRule="auto"/>
              <w:ind w:right="278"/>
              <w:rPr>
                <w:rFonts w:ascii="Times New Roman" w:hAnsi="Times New Roman" w:cs="Times New Roman"/>
                <w:sz w:val="20"/>
                <w:szCs w:val="20"/>
                <w:lang w:val="lt-LT"/>
              </w:rPr>
            </w:pPr>
            <w:r w:rsidRPr="00C12696">
              <w:rPr>
                <w:rFonts w:ascii="Times New Roman" w:hAnsi="Times New Roman" w:cs="Times New Roman"/>
                <w:sz w:val="20"/>
                <w:szCs w:val="20"/>
                <w:lang w:val="lt-LT"/>
              </w:rPr>
              <w:t>2. Užduoties atlikimo tikslumas;</w:t>
            </w:r>
          </w:p>
        </w:tc>
      </w:tr>
      <w:tr w:rsidR="00CD5D6F" w:rsidRPr="00C12696" w:rsidTr="005C04C9">
        <w:tc>
          <w:tcPr>
            <w:tcW w:w="4454" w:type="dxa"/>
          </w:tcPr>
          <w:p w:rsidR="00CD5D6F" w:rsidRPr="00C12696" w:rsidRDefault="00CD5D6F" w:rsidP="005C04C9">
            <w:pPr>
              <w:spacing w:line="360" w:lineRule="auto"/>
              <w:ind w:right="278"/>
              <w:rPr>
                <w:rFonts w:ascii="Times New Roman" w:hAnsi="Times New Roman" w:cs="Times New Roman"/>
                <w:sz w:val="20"/>
                <w:szCs w:val="20"/>
                <w:lang w:val="lt-LT"/>
              </w:rPr>
            </w:pPr>
            <w:r w:rsidRPr="00C12696">
              <w:rPr>
                <w:rFonts w:ascii="Times New Roman" w:hAnsi="Times New Roman" w:cs="Times New Roman"/>
                <w:sz w:val="20"/>
                <w:szCs w:val="20"/>
                <w:lang w:val="lt-LT"/>
              </w:rPr>
              <w:t>3. Atidumas skelbiant užduotį;</w:t>
            </w:r>
          </w:p>
        </w:tc>
        <w:tc>
          <w:tcPr>
            <w:tcW w:w="4585" w:type="dxa"/>
          </w:tcPr>
          <w:p w:rsidR="00CD5D6F" w:rsidRPr="00C12696" w:rsidRDefault="00CD5D6F" w:rsidP="005C04C9">
            <w:pPr>
              <w:spacing w:line="360" w:lineRule="auto"/>
              <w:ind w:right="278"/>
              <w:rPr>
                <w:rFonts w:ascii="Times New Roman" w:hAnsi="Times New Roman" w:cs="Times New Roman"/>
                <w:sz w:val="20"/>
                <w:szCs w:val="20"/>
                <w:lang w:val="lt-LT"/>
              </w:rPr>
            </w:pPr>
            <w:r w:rsidRPr="00C12696">
              <w:rPr>
                <w:rFonts w:ascii="Times New Roman" w:hAnsi="Times New Roman" w:cs="Times New Roman"/>
                <w:sz w:val="20"/>
                <w:szCs w:val="20"/>
                <w:lang w:val="lt-LT"/>
              </w:rPr>
              <w:t>3. Nuotaika atliekant užduotis;</w:t>
            </w:r>
          </w:p>
        </w:tc>
      </w:tr>
      <w:tr w:rsidR="00CD5D6F" w:rsidRPr="00C12696" w:rsidTr="005C04C9">
        <w:tc>
          <w:tcPr>
            <w:tcW w:w="4454" w:type="dxa"/>
          </w:tcPr>
          <w:p w:rsidR="00CD5D6F" w:rsidRPr="00C12696" w:rsidRDefault="00CD5D6F" w:rsidP="005C04C9">
            <w:pPr>
              <w:spacing w:line="360" w:lineRule="auto"/>
              <w:ind w:right="278"/>
              <w:rPr>
                <w:rFonts w:ascii="Times New Roman" w:hAnsi="Times New Roman" w:cs="Times New Roman"/>
                <w:sz w:val="20"/>
                <w:szCs w:val="20"/>
                <w:lang w:val="lt-LT"/>
              </w:rPr>
            </w:pPr>
            <w:r w:rsidRPr="00C12696">
              <w:rPr>
                <w:rFonts w:ascii="Times New Roman" w:hAnsi="Times New Roman" w:cs="Times New Roman"/>
                <w:sz w:val="20"/>
                <w:szCs w:val="20"/>
                <w:lang w:val="lt-LT"/>
              </w:rPr>
              <w:t>4. Užduoties supratimas;</w:t>
            </w:r>
          </w:p>
        </w:tc>
        <w:tc>
          <w:tcPr>
            <w:tcW w:w="4585" w:type="dxa"/>
          </w:tcPr>
          <w:p w:rsidR="00CD5D6F" w:rsidRPr="00C12696" w:rsidRDefault="00CD5D6F" w:rsidP="005C04C9">
            <w:pPr>
              <w:spacing w:line="360" w:lineRule="auto"/>
              <w:ind w:right="278"/>
              <w:rPr>
                <w:rFonts w:ascii="Times New Roman" w:hAnsi="Times New Roman" w:cs="Times New Roman"/>
                <w:sz w:val="20"/>
                <w:szCs w:val="20"/>
                <w:lang w:val="lt-LT"/>
              </w:rPr>
            </w:pPr>
            <w:r w:rsidRPr="00C12696">
              <w:rPr>
                <w:rFonts w:ascii="Times New Roman" w:hAnsi="Times New Roman" w:cs="Times New Roman"/>
                <w:sz w:val="20"/>
                <w:szCs w:val="20"/>
                <w:lang w:val="lt-LT"/>
              </w:rPr>
              <w:t>4. Abejingumas/Entuziazmas;</w:t>
            </w:r>
          </w:p>
        </w:tc>
      </w:tr>
      <w:tr w:rsidR="00CD5D6F" w:rsidRPr="00C12696" w:rsidTr="005C04C9">
        <w:tc>
          <w:tcPr>
            <w:tcW w:w="4454" w:type="dxa"/>
          </w:tcPr>
          <w:p w:rsidR="00CD5D6F" w:rsidRPr="00C12696" w:rsidRDefault="00CD5D6F" w:rsidP="005C04C9">
            <w:pPr>
              <w:spacing w:line="360" w:lineRule="auto"/>
              <w:ind w:right="278"/>
              <w:rPr>
                <w:rFonts w:ascii="Times New Roman" w:hAnsi="Times New Roman" w:cs="Times New Roman"/>
                <w:sz w:val="20"/>
                <w:szCs w:val="20"/>
                <w:lang w:val="lt-LT"/>
              </w:rPr>
            </w:pPr>
            <w:r w:rsidRPr="00C12696">
              <w:rPr>
                <w:rFonts w:ascii="Times New Roman" w:hAnsi="Times New Roman" w:cs="Times New Roman"/>
                <w:sz w:val="20"/>
                <w:szCs w:val="20"/>
                <w:lang w:val="lt-LT"/>
              </w:rPr>
              <w:t>5. Įsitraukimas į darbo procesą;</w:t>
            </w:r>
          </w:p>
        </w:tc>
        <w:tc>
          <w:tcPr>
            <w:tcW w:w="4585" w:type="dxa"/>
          </w:tcPr>
          <w:p w:rsidR="00CD5D6F" w:rsidRPr="00C12696" w:rsidRDefault="00CD5D6F" w:rsidP="005C04C9">
            <w:pPr>
              <w:spacing w:line="360" w:lineRule="auto"/>
              <w:ind w:right="278"/>
              <w:rPr>
                <w:rFonts w:ascii="Times New Roman" w:hAnsi="Times New Roman" w:cs="Times New Roman"/>
                <w:sz w:val="20"/>
                <w:szCs w:val="20"/>
                <w:lang w:val="lt-LT"/>
              </w:rPr>
            </w:pPr>
            <w:r w:rsidRPr="00C12696">
              <w:rPr>
                <w:rFonts w:ascii="Times New Roman" w:hAnsi="Times New Roman" w:cs="Times New Roman"/>
                <w:sz w:val="20"/>
                <w:szCs w:val="20"/>
                <w:lang w:val="lt-LT"/>
              </w:rPr>
              <w:t>5. Užduoties išbaigtumas;</w:t>
            </w:r>
          </w:p>
        </w:tc>
      </w:tr>
    </w:tbl>
    <w:p w:rsidR="00CD5D6F" w:rsidRPr="00C12696" w:rsidRDefault="00CD5D6F" w:rsidP="00CD5D6F">
      <w:pPr>
        <w:spacing w:after="0" w:line="360" w:lineRule="auto"/>
        <w:ind w:right="278"/>
        <w:jc w:val="both"/>
        <w:rPr>
          <w:rFonts w:ascii="Times New Roman" w:hAnsi="Times New Roman" w:cs="Times New Roman"/>
          <w:i/>
          <w:sz w:val="24"/>
          <w:szCs w:val="24"/>
          <w:lang w:val="lt-LT"/>
        </w:rPr>
      </w:pPr>
    </w:p>
    <w:p w:rsidR="00CD5D6F" w:rsidRPr="00C12696" w:rsidRDefault="00CD5D6F" w:rsidP="00CD5D6F">
      <w:pPr>
        <w:spacing w:after="0" w:line="360" w:lineRule="auto"/>
        <w:ind w:right="278"/>
        <w:jc w:val="both"/>
        <w:rPr>
          <w:rFonts w:ascii="Times New Roman" w:hAnsi="Times New Roman" w:cs="Times New Roman"/>
          <w:sz w:val="24"/>
          <w:szCs w:val="24"/>
          <w:lang w:val="lt-LT"/>
        </w:rPr>
      </w:pPr>
    </w:p>
    <w:p w:rsidR="00CD5D6F" w:rsidRDefault="00CD5D6F" w:rsidP="00CD5D6F">
      <w:pPr>
        <w:spacing w:after="0" w:line="360" w:lineRule="auto"/>
        <w:ind w:right="278"/>
        <w:jc w:val="both"/>
        <w:rPr>
          <w:rFonts w:ascii="Times New Roman" w:hAnsi="Times New Roman" w:cs="Times New Roman"/>
          <w:sz w:val="24"/>
          <w:szCs w:val="24"/>
          <w:lang w:val="lt-LT"/>
        </w:rPr>
      </w:pPr>
      <w:r w:rsidRPr="00C12696">
        <w:rPr>
          <w:rFonts w:ascii="Times New Roman" w:hAnsi="Times New Roman" w:cs="Times New Roman"/>
          <w:sz w:val="24"/>
          <w:szCs w:val="24"/>
          <w:lang w:val="lt-LT"/>
        </w:rPr>
        <w:t xml:space="preserve">        Pro</w:t>
      </w:r>
    </w:p>
    <w:p w:rsidR="00CD5D6F" w:rsidRDefault="00CD5D6F" w:rsidP="00CD5D6F">
      <w:pPr>
        <w:spacing w:after="0" w:line="360" w:lineRule="auto"/>
        <w:ind w:right="278"/>
        <w:jc w:val="both"/>
        <w:rPr>
          <w:rFonts w:ascii="Times New Roman" w:hAnsi="Times New Roman" w:cs="Times New Roman"/>
          <w:sz w:val="24"/>
          <w:szCs w:val="24"/>
          <w:lang w:val="lt-LT"/>
        </w:rPr>
      </w:pPr>
    </w:p>
    <w:p w:rsidR="00CD5D6F" w:rsidRPr="00C12696" w:rsidRDefault="00CD5D6F" w:rsidP="00CD5D6F">
      <w:pPr>
        <w:spacing w:after="0" w:line="360" w:lineRule="auto"/>
        <w:ind w:right="278"/>
        <w:jc w:val="both"/>
        <w:rPr>
          <w:rFonts w:ascii="Times New Roman" w:hAnsi="Times New Roman" w:cs="Times New Roman"/>
          <w:sz w:val="24"/>
          <w:szCs w:val="24"/>
          <w:lang w:val="lt-LT"/>
        </w:rPr>
      </w:pPr>
      <w:r>
        <w:rPr>
          <w:rFonts w:ascii="Times New Roman" w:hAnsi="Times New Roman" w:cs="Times New Roman"/>
          <w:sz w:val="24"/>
          <w:szCs w:val="24"/>
          <w:lang w:val="lt-LT"/>
        </w:rPr>
        <w:t>Pro</w:t>
      </w:r>
      <w:r w:rsidRPr="00C12696">
        <w:rPr>
          <w:rFonts w:ascii="Times New Roman" w:hAnsi="Times New Roman" w:cs="Times New Roman"/>
          <w:sz w:val="24"/>
          <w:szCs w:val="24"/>
          <w:lang w:val="lt-LT"/>
        </w:rPr>
        <w:t xml:space="preserve">tokolas suskirstytas į dvi kategorijas, pirmoji – elgesys, antroji – mokinių veiklos </w:t>
      </w:r>
      <w:r>
        <w:rPr>
          <w:rFonts w:ascii="Times New Roman" w:hAnsi="Times New Roman" w:cs="Times New Roman"/>
          <w:sz w:val="24"/>
          <w:szCs w:val="24"/>
          <w:lang w:val="lt-LT"/>
        </w:rPr>
        <w:t>kokybė</w:t>
      </w:r>
      <w:r w:rsidRPr="00C12696">
        <w:rPr>
          <w:rFonts w:ascii="Times New Roman" w:hAnsi="Times New Roman" w:cs="Times New Roman"/>
          <w:sz w:val="24"/>
          <w:szCs w:val="24"/>
          <w:lang w:val="lt-LT"/>
        </w:rPr>
        <w:t xml:space="preserve">. Kiekviena kategorija buvo išskirta pagal elgesio ir muzikinės veiklos kriterijus. Pirmoji elgesio kategorija buvo išskirta pagal elgsenos, dėmesio, atidumo, užduočių supratimo, įsitraukimo į darbo procesą kriterijus. Mokinių veiklos </w:t>
      </w:r>
      <w:r>
        <w:rPr>
          <w:rFonts w:ascii="Times New Roman" w:hAnsi="Times New Roman" w:cs="Times New Roman"/>
          <w:sz w:val="24"/>
          <w:szCs w:val="24"/>
          <w:lang w:val="lt-LT"/>
        </w:rPr>
        <w:t>kokybės</w:t>
      </w:r>
      <w:r w:rsidRPr="00C12696">
        <w:rPr>
          <w:rFonts w:ascii="Times New Roman" w:hAnsi="Times New Roman" w:cs="Times New Roman"/>
          <w:sz w:val="24"/>
          <w:szCs w:val="24"/>
          <w:lang w:val="lt-LT"/>
        </w:rPr>
        <w:t xml:space="preserve"> kategorija nurodė atliekamo darbo </w:t>
      </w:r>
      <w:r>
        <w:rPr>
          <w:rFonts w:ascii="Times New Roman" w:hAnsi="Times New Roman" w:cs="Times New Roman"/>
          <w:sz w:val="24"/>
          <w:szCs w:val="24"/>
          <w:lang w:val="lt-LT"/>
        </w:rPr>
        <w:t xml:space="preserve">kokybės </w:t>
      </w:r>
      <w:r w:rsidRPr="00C12696">
        <w:rPr>
          <w:rFonts w:ascii="Times New Roman" w:hAnsi="Times New Roman" w:cs="Times New Roman"/>
          <w:sz w:val="24"/>
          <w:szCs w:val="24"/>
          <w:lang w:val="lt-LT"/>
        </w:rPr>
        <w:t xml:space="preserve">kriterijus: užduočių nuoseklumą, tikslumą, atlikimo nuotaiką, būseną, patį užduoties atlikimą. Stebėjimo protokole prie kiekvieno kriterijaus buvo pateikti galimi mokinių reagavimo į veiksenas variantai. </w:t>
      </w:r>
      <w:r>
        <w:rPr>
          <w:rFonts w:ascii="Times New Roman" w:hAnsi="Times New Roman" w:cs="Times New Roman"/>
          <w:sz w:val="24"/>
          <w:szCs w:val="24"/>
          <w:lang w:val="lt-LT"/>
        </w:rPr>
        <w:t>Užpildytas s</w:t>
      </w:r>
      <w:r w:rsidRPr="00C12696">
        <w:rPr>
          <w:rFonts w:ascii="Times New Roman" w:hAnsi="Times New Roman" w:cs="Times New Roman"/>
          <w:sz w:val="24"/>
          <w:szCs w:val="24"/>
          <w:lang w:val="lt-LT"/>
        </w:rPr>
        <w:t>tebėjimo protokolas pateiktas 1 priede (žr. p. 51). Galimi mokinių reagavimo į užduotis variantai – galimų atsakymų pasirinkimas</w:t>
      </w:r>
      <w:r w:rsidR="00022BBD">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buvo </w:t>
      </w:r>
      <w:r w:rsidRPr="00C12696">
        <w:rPr>
          <w:rFonts w:ascii="Times New Roman" w:hAnsi="Times New Roman" w:cs="Times New Roman"/>
          <w:sz w:val="24"/>
          <w:szCs w:val="24"/>
          <w:lang w:val="lt-LT"/>
        </w:rPr>
        <w:t>pateikt</w:t>
      </w:r>
      <w:r>
        <w:rPr>
          <w:rFonts w:ascii="Times New Roman" w:hAnsi="Times New Roman" w:cs="Times New Roman"/>
          <w:sz w:val="24"/>
          <w:szCs w:val="24"/>
          <w:lang w:val="lt-LT"/>
        </w:rPr>
        <w:t>i</w:t>
      </w:r>
      <w:r w:rsidR="00022BBD">
        <w:rPr>
          <w:rFonts w:ascii="Times New Roman" w:hAnsi="Times New Roman" w:cs="Times New Roman"/>
          <w:sz w:val="24"/>
          <w:szCs w:val="24"/>
          <w:lang w:val="lt-LT"/>
        </w:rPr>
        <w:t xml:space="preserve"> tyrėjai ir ekspertams. Tuo būdu siekta ištirti kaip vaikas</w:t>
      </w:r>
      <w:r w:rsidRPr="00C12696">
        <w:rPr>
          <w:rFonts w:ascii="Times New Roman" w:hAnsi="Times New Roman" w:cs="Times New Roman"/>
          <w:sz w:val="24"/>
          <w:szCs w:val="24"/>
          <w:lang w:val="lt-LT"/>
        </w:rPr>
        <w:t xml:space="preserve"> ruošėsi pamokai, kokia pašaline veikla užsiėmė</w:t>
      </w:r>
      <w:r w:rsidR="00022BBD">
        <w:rPr>
          <w:rFonts w:ascii="Times New Roman" w:hAnsi="Times New Roman" w:cs="Times New Roman"/>
          <w:sz w:val="24"/>
          <w:szCs w:val="24"/>
          <w:lang w:val="lt-LT"/>
        </w:rPr>
        <w:t>, taip</w:t>
      </w:r>
      <w:r w:rsidRPr="00C12696">
        <w:rPr>
          <w:rFonts w:ascii="Times New Roman" w:hAnsi="Times New Roman" w:cs="Times New Roman"/>
          <w:sz w:val="24"/>
          <w:szCs w:val="24"/>
          <w:lang w:val="lt-LT"/>
        </w:rPr>
        <w:t xml:space="preserve"> pat </w:t>
      </w:r>
      <w:r w:rsidR="00022BBD">
        <w:rPr>
          <w:rFonts w:ascii="Times New Roman" w:hAnsi="Times New Roman" w:cs="Times New Roman"/>
          <w:sz w:val="24"/>
          <w:szCs w:val="24"/>
          <w:lang w:val="lt-LT"/>
        </w:rPr>
        <w:t xml:space="preserve">kiek jis buvo dėmesingas </w:t>
      </w:r>
      <w:r w:rsidRPr="00C12696">
        <w:rPr>
          <w:rFonts w:ascii="Times New Roman" w:hAnsi="Times New Roman" w:cs="Times New Roman"/>
          <w:sz w:val="24"/>
          <w:szCs w:val="24"/>
          <w:lang w:val="lt-LT"/>
        </w:rPr>
        <w:t xml:space="preserve">- </w:t>
      </w:r>
      <w:r w:rsidR="00022BBD">
        <w:rPr>
          <w:rFonts w:ascii="Times New Roman" w:hAnsi="Times New Roman" w:cs="Times New Roman"/>
          <w:sz w:val="24"/>
          <w:szCs w:val="24"/>
          <w:lang w:val="lt-LT"/>
        </w:rPr>
        <w:t xml:space="preserve">kiek </w:t>
      </w:r>
      <w:r w:rsidRPr="00C12696">
        <w:rPr>
          <w:rFonts w:ascii="Times New Roman" w:hAnsi="Times New Roman" w:cs="Times New Roman"/>
          <w:sz w:val="24"/>
          <w:szCs w:val="24"/>
          <w:lang w:val="lt-LT"/>
        </w:rPr>
        <w:t xml:space="preserve">tiksliai </w:t>
      </w:r>
      <w:r w:rsidR="00022BBD">
        <w:rPr>
          <w:rFonts w:ascii="Times New Roman" w:hAnsi="Times New Roman" w:cs="Times New Roman"/>
          <w:sz w:val="24"/>
          <w:szCs w:val="24"/>
          <w:lang w:val="lt-LT"/>
        </w:rPr>
        <w:t xml:space="preserve">atliko užduotį, </w:t>
      </w:r>
      <w:r w:rsidRPr="00C12696">
        <w:rPr>
          <w:rFonts w:ascii="Times New Roman" w:hAnsi="Times New Roman" w:cs="Times New Roman"/>
          <w:sz w:val="24"/>
          <w:szCs w:val="24"/>
          <w:lang w:val="lt-LT"/>
        </w:rPr>
        <w:t xml:space="preserve">ar atidumo ir dėmesio stoka </w:t>
      </w:r>
      <w:r w:rsidR="00022BBD">
        <w:rPr>
          <w:rFonts w:ascii="Times New Roman" w:hAnsi="Times New Roman" w:cs="Times New Roman"/>
          <w:sz w:val="24"/>
          <w:szCs w:val="24"/>
          <w:lang w:val="lt-LT"/>
        </w:rPr>
        <w:t>ne</w:t>
      </w:r>
      <w:r w:rsidRPr="00C12696">
        <w:rPr>
          <w:rFonts w:ascii="Times New Roman" w:hAnsi="Times New Roman" w:cs="Times New Roman"/>
          <w:sz w:val="24"/>
          <w:szCs w:val="24"/>
          <w:lang w:val="lt-LT"/>
        </w:rPr>
        <w:t xml:space="preserve">trukdė atlikti užduotis nuosekliai nuo pradžių iki galo. Taip pat stebėjimo protokole buvo pateikti </w:t>
      </w:r>
      <w:r w:rsidR="00022BBD">
        <w:rPr>
          <w:rFonts w:ascii="Times New Roman" w:hAnsi="Times New Roman" w:cs="Times New Roman"/>
          <w:sz w:val="24"/>
          <w:szCs w:val="24"/>
          <w:lang w:val="lt-LT"/>
        </w:rPr>
        <w:t xml:space="preserve">galimi </w:t>
      </w:r>
      <w:r w:rsidRPr="00C12696">
        <w:rPr>
          <w:rFonts w:ascii="Times New Roman" w:hAnsi="Times New Roman" w:cs="Times New Roman"/>
          <w:sz w:val="24"/>
          <w:szCs w:val="24"/>
          <w:lang w:val="lt-LT"/>
        </w:rPr>
        <w:t>atsakym</w:t>
      </w:r>
      <w:r w:rsidR="00022BBD">
        <w:rPr>
          <w:rFonts w:ascii="Times New Roman" w:hAnsi="Times New Roman" w:cs="Times New Roman"/>
          <w:sz w:val="24"/>
          <w:szCs w:val="24"/>
          <w:lang w:val="lt-LT"/>
        </w:rPr>
        <w:t>ų variantai,</w:t>
      </w:r>
      <w:r w:rsidRPr="00C12696">
        <w:rPr>
          <w:rFonts w:ascii="Times New Roman" w:hAnsi="Times New Roman" w:cs="Times New Roman"/>
          <w:sz w:val="24"/>
          <w:szCs w:val="24"/>
          <w:lang w:val="lt-LT"/>
        </w:rPr>
        <w:t xml:space="preserve"> susiję su vaikų muzikalumu ir kūrybiškumu. Remiantis galimų atsakymų įvairove, tyrėjai ir ekspertams buvo palikta galimybė </w:t>
      </w:r>
      <w:r w:rsidR="00022BBD">
        <w:rPr>
          <w:rFonts w:ascii="Times New Roman" w:hAnsi="Times New Roman" w:cs="Times New Roman"/>
          <w:sz w:val="24"/>
          <w:szCs w:val="24"/>
          <w:lang w:val="lt-LT"/>
        </w:rPr>
        <w:t xml:space="preserve">juos </w:t>
      </w:r>
      <w:r w:rsidRPr="00C12696">
        <w:rPr>
          <w:rFonts w:ascii="Times New Roman" w:hAnsi="Times New Roman" w:cs="Times New Roman"/>
          <w:sz w:val="24"/>
          <w:szCs w:val="24"/>
          <w:lang w:val="lt-LT"/>
        </w:rPr>
        <w:t xml:space="preserve">papildyti. </w:t>
      </w:r>
      <w:r w:rsidR="00022BBD">
        <w:rPr>
          <w:rFonts w:ascii="Times New Roman" w:hAnsi="Times New Roman" w:cs="Times New Roman"/>
          <w:sz w:val="24"/>
          <w:szCs w:val="24"/>
          <w:lang w:val="lt-LT"/>
        </w:rPr>
        <w:t>Užpildytas s</w:t>
      </w:r>
      <w:r w:rsidRPr="00C12696">
        <w:rPr>
          <w:rFonts w:ascii="Times New Roman" w:hAnsi="Times New Roman" w:cs="Times New Roman"/>
          <w:sz w:val="24"/>
          <w:szCs w:val="24"/>
          <w:lang w:val="lt-LT"/>
        </w:rPr>
        <w:t>tebėjimo protokolas pateiktas 1 priede (žr. p. 51).</w:t>
      </w:r>
    </w:p>
    <w:p w:rsidR="00CD5D6F" w:rsidRPr="00C12696" w:rsidRDefault="00CD5D6F" w:rsidP="00CD5D6F">
      <w:pPr>
        <w:spacing w:after="0" w:line="360" w:lineRule="auto"/>
        <w:ind w:right="278"/>
        <w:jc w:val="both"/>
        <w:rPr>
          <w:rFonts w:ascii="Times New Roman" w:hAnsi="Times New Roman" w:cs="Times New Roman"/>
          <w:sz w:val="24"/>
          <w:szCs w:val="24"/>
          <w:lang w:val="lt-LT"/>
        </w:rPr>
      </w:pPr>
      <w:r w:rsidRPr="00C12696">
        <w:rPr>
          <w:rFonts w:ascii="Times New Roman" w:hAnsi="Times New Roman" w:cs="Times New Roman"/>
          <w:sz w:val="24"/>
          <w:szCs w:val="24"/>
          <w:lang w:val="lt-LT"/>
        </w:rPr>
        <w:t xml:space="preserve">        Siekiant pastiprinti tyrimo kokybę buvo sudaryti stebėjimo užrašai, kuriuose muzikos mokytoja ir kiti du ekspertai aprašė darbo eigą, vaikų reakciją į pateiktas užduotis, išsakė savo nuomonę bei apibendrino savo refleksiją. </w:t>
      </w:r>
      <w:r w:rsidR="00022BBD">
        <w:rPr>
          <w:rFonts w:ascii="Times New Roman" w:hAnsi="Times New Roman" w:cs="Times New Roman"/>
          <w:sz w:val="24"/>
          <w:szCs w:val="24"/>
          <w:lang w:val="lt-LT"/>
        </w:rPr>
        <w:t>Šie s</w:t>
      </w:r>
      <w:r w:rsidRPr="00C12696">
        <w:rPr>
          <w:rFonts w:ascii="Times New Roman" w:hAnsi="Times New Roman" w:cs="Times New Roman"/>
          <w:sz w:val="24"/>
          <w:szCs w:val="24"/>
          <w:lang w:val="lt-LT"/>
        </w:rPr>
        <w:t xml:space="preserve">tebėjimo užrašai pateikti 2 priede (žr. 2 p. 59). </w:t>
      </w:r>
    </w:p>
    <w:p w:rsidR="00CD5D6F" w:rsidRPr="00C12696" w:rsidRDefault="00CD5D6F" w:rsidP="00CD5D6F">
      <w:pPr>
        <w:spacing w:after="0" w:line="360" w:lineRule="auto"/>
        <w:ind w:right="278"/>
        <w:jc w:val="both"/>
        <w:rPr>
          <w:rFonts w:ascii="Times New Roman" w:hAnsi="Times New Roman" w:cs="Times New Roman"/>
          <w:sz w:val="24"/>
          <w:szCs w:val="24"/>
          <w:lang w:val="lt-LT"/>
        </w:rPr>
      </w:pPr>
      <w:r w:rsidRPr="00C12696">
        <w:rPr>
          <w:rFonts w:ascii="Times New Roman" w:hAnsi="Times New Roman" w:cs="Times New Roman"/>
          <w:sz w:val="24"/>
          <w:szCs w:val="24"/>
          <w:lang w:val="lt-LT"/>
        </w:rPr>
        <w:t xml:space="preserve">        Kaip buvo minėta, tyrimo protokolą užpildė trys asmenys: tyrė</w:t>
      </w:r>
      <w:r>
        <w:rPr>
          <w:rFonts w:ascii="Times New Roman" w:hAnsi="Times New Roman" w:cs="Times New Roman"/>
          <w:sz w:val="24"/>
          <w:szCs w:val="24"/>
          <w:lang w:val="lt-LT"/>
        </w:rPr>
        <w:t>ja (muzikos mokytoja), taip pat</w:t>
      </w:r>
      <w:r w:rsidRPr="00C12696">
        <w:rPr>
          <w:rFonts w:ascii="Times New Roman" w:hAnsi="Times New Roman" w:cs="Times New Roman"/>
          <w:sz w:val="24"/>
          <w:szCs w:val="24"/>
          <w:lang w:val="lt-LT"/>
        </w:rPr>
        <w:t xml:space="preserve"> stebėjimo protokolas buvo pateiktas dvejiems ekspertams – antrai muzikos mokytojai ir psichologei, kurios turėjo patikslinti mokytojos vertinimą. Tyrėjos (muzikos mokytojos) vaidmuo pamokose buvo: aktyviai dalyvauti mokomajame procese, stebėti tiriamųjų elgesio pokyčius į pateiktas kūrybines užduotis. Tyrime dalyvavusios ekspertės – buvo pakviestos objektyviai įvertinti esamą situaciją, nes tiesiogiai tyrime dalyvaujanti tyrėja galėjo į organizuojamą procesą pažvelgti subjektyviai. Šiuo atveju, eksperčių vaidmuo tyrime buvo stebėti mokinių drausmės pokyčius</w:t>
      </w:r>
      <w:r w:rsidR="00666AFB">
        <w:rPr>
          <w:rFonts w:ascii="Times New Roman" w:hAnsi="Times New Roman" w:cs="Times New Roman"/>
          <w:sz w:val="24"/>
          <w:szCs w:val="24"/>
          <w:lang w:val="lt-LT"/>
        </w:rPr>
        <w:t xml:space="preserve"> bei</w:t>
      </w:r>
      <w:r w:rsidRPr="00C12696">
        <w:rPr>
          <w:rFonts w:ascii="Times New Roman" w:hAnsi="Times New Roman" w:cs="Times New Roman"/>
          <w:sz w:val="24"/>
          <w:szCs w:val="24"/>
          <w:lang w:val="lt-LT"/>
        </w:rPr>
        <w:t xml:space="preserve"> įvertinti mokytojos, kaip aktyvios dalyvės ir stebėtojos įžvalgas.</w:t>
      </w:r>
    </w:p>
    <w:p w:rsidR="00CD5D6F" w:rsidRPr="00C12696" w:rsidRDefault="00CD5D6F" w:rsidP="00CD5D6F">
      <w:pPr>
        <w:spacing w:after="0" w:line="360" w:lineRule="auto"/>
        <w:ind w:right="278"/>
        <w:jc w:val="both"/>
        <w:rPr>
          <w:rFonts w:ascii="Times New Roman" w:hAnsi="Times New Roman" w:cs="Times New Roman"/>
          <w:sz w:val="24"/>
          <w:szCs w:val="24"/>
          <w:lang w:val="lt-LT"/>
        </w:rPr>
      </w:pPr>
      <w:r w:rsidRPr="00C12696">
        <w:rPr>
          <w:rFonts w:ascii="Times New Roman" w:hAnsi="Times New Roman" w:cs="Times New Roman"/>
          <w:sz w:val="24"/>
          <w:szCs w:val="24"/>
          <w:lang w:val="lt-LT"/>
        </w:rPr>
        <w:t xml:space="preserve">        Siekiant išsiaiškinti, kaip 1 – 4 klasių mokiniai įveikė drausmės problemas, pritaikius kūrybines užduotis, buvo </w:t>
      </w:r>
      <w:r>
        <w:rPr>
          <w:rFonts w:ascii="Times New Roman" w:hAnsi="Times New Roman" w:cs="Times New Roman"/>
          <w:sz w:val="24"/>
          <w:szCs w:val="24"/>
          <w:lang w:val="lt-LT"/>
        </w:rPr>
        <w:t>atlikta</w:t>
      </w:r>
      <w:r w:rsidRPr="00C12696">
        <w:rPr>
          <w:rFonts w:ascii="Times New Roman" w:hAnsi="Times New Roman" w:cs="Times New Roman"/>
          <w:sz w:val="24"/>
          <w:szCs w:val="24"/>
          <w:lang w:val="lt-LT"/>
        </w:rPr>
        <w:t xml:space="preserve"> gautų duomenų kokybinė analizė. Duomenims buvo suteikti pavadinimai, kategorijos, kriterijai. Prie kiekvieno kriterijaus pateikti pavyzdžiai iš analizuojamo teksto, pagrindžiantys tam tikrą gautą informaciją. Surinkti duomenys buvo susisteminti, atlikta lyginamoji analizė. Gauta informacija apibendrinta, rezultatai – įprasminti,</w:t>
      </w:r>
      <w:r w:rsidR="00666AFB">
        <w:rPr>
          <w:rFonts w:ascii="Times New Roman" w:hAnsi="Times New Roman" w:cs="Times New Roman"/>
          <w:sz w:val="24"/>
          <w:szCs w:val="24"/>
          <w:lang w:val="lt-LT"/>
        </w:rPr>
        <w:t xml:space="preserve"> pateikti lentelėse, diagramose, kurios bus eksponuojamos ir pristatomos antrajame tiriamosios dalies skyrelyje.</w:t>
      </w:r>
      <w:r w:rsidRPr="00C12696">
        <w:rPr>
          <w:rFonts w:ascii="Times New Roman" w:hAnsi="Times New Roman" w:cs="Times New Roman"/>
          <w:sz w:val="24"/>
          <w:szCs w:val="24"/>
          <w:lang w:val="lt-LT"/>
        </w:rPr>
        <w:t xml:space="preserve"> </w:t>
      </w:r>
    </w:p>
    <w:p w:rsidR="00CD5D6F" w:rsidRPr="00C12696" w:rsidRDefault="00CD5D6F" w:rsidP="00CD5D6F">
      <w:pPr>
        <w:spacing w:line="360" w:lineRule="auto"/>
        <w:ind w:right="278"/>
        <w:jc w:val="both"/>
        <w:rPr>
          <w:rFonts w:ascii="Times New Roman" w:hAnsi="Times New Roman" w:cs="Times New Roman"/>
          <w:sz w:val="24"/>
          <w:szCs w:val="24"/>
          <w:lang w:val="lt-LT"/>
        </w:rPr>
      </w:pPr>
    </w:p>
    <w:p w:rsidR="00A628B6" w:rsidRPr="00CD5D6F" w:rsidRDefault="00A628B6">
      <w:pPr>
        <w:rPr>
          <w:lang w:val="lt-LT"/>
        </w:rPr>
      </w:pPr>
    </w:p>
    <w:sectPr w:rsidR="00A628B6" w:rsidRPr="00CD5D6F" w:rsidSect="00A628B6">
      <w:pgSz w:w="11906" w:h="16838"/>
      <w:pgMar w:top="1701" w:right="567" w:bottom="1134" w:left="1701" w:header="567" w:footer="567" w:gutter="0"/>
      <w:cols w:space="1296"/>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9E2941"/>
    <w:multiLevelType w:val="hybridMultilevel"/>
    <w:tmpl w:val="704CA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296"/>
  <w:hyphenationZone w:val="396"/>
  <w:characterSpacingControl w:val="doNotCompress"/>
  <w:savePreviewPicture/>
  <w:compat/>
  <w:rsids>
    <w:rsidRoot w:val="00CD5D6F"/>
    <w:rsid w:val="00022BBD"/>
    <w:rsid w:val="000513B5"/>
    <w:rsid w:val="00666AFB"/>
    <w:rsid w:val="00A628B6"/>
    <w:rsid w:val="00CD5D6F"/>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D6F"/>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5D6F"/>
    <w:pPr>
      <w:ind w:left="720"/>
      <w:contextualSpacing/>
    </w:pPr>
  </w:style>
  <w:style w:type="table" w:styleId="LightList-Accent5">
    <w:name w:val="Light List Accent 5"/>
    <w:basedOn w:val="TableNormal"/>
    <w:uiPriority w:val="61"/>
    <w:rsid w:val="00CD5D6F"/>
    <w:pPr>
      <w:spacing w:after="0" w:line="240" w:lineRule="auto"/>
    </w:pPr>
    <w:rPr>
      <w:lang w:val="en-GB"/>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3905</Words>
  <Characters>2227</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Inspiron</dc:creator>
  <cp:lastModifiedBy>Inspiron</cp:lastModifiedBy>
  <cp:revision>1</cp:revision>
  <dcterms:created xsi:type="dcterms:W3CDTF">2016-10-11T20:26:00Z</dcterms:created>
  <dcterms:modified xsi:type="dcterms:W3CDTF">2016-10-11T20:48:00Z</dcterms:modified>
</cp:coreProperties>
</file>