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EA9" w:rsidRPr="00CE614E" w:rsidRDefault="00FF4EA9" w:rsidP="00FF4EA9">
      <w:pPr>
        <w:jc w:val="center"/>
        <w:rPr>
          <w:lang w:val="lt-LT"/>
        </w:rPr>
      </w:pPr>
      <w:bookmarkStart w:id="0" w:name="_Toc450588541"/>
      <w:r w:rsidRPr="00CE614E">
        <w:rPr>
          <w:b/>
          <w:sz w:val="28"/>
          <w:szCs w:val="28"/>
          <w:lang w:val="lt-LT"/>
        </w:rPr>
        <w:t>Ugdymo šiandieninėje muzikos mokykloje bruožai, remiantis absolventų muzikinės veiklos patirčių analize</w:t>
      </w:r>
    </w:p>
    <w:p w:rsidR="00FF4EA9" w:rsidRPr="00CE614E" w:rsidRDefault="00FF4EA9" w:rsidP="00FF4EA9">
      <w:pPr>
        <w:jc w:val="center"/>
        <w:rPr>
          <w:lang w:val="lt-LT"/>
        </w:rPr>
      </w:pPr>
    </w:p>
    <w:sdt>
      <w:sdtPr>
        <w:rPr>
          <w:rFonts w:ascii="Times New Roman" w:eastAsia="Times New Roman" w:hAnsi="Times New Roman" w:cs="Times New Roman"/>
          <w:color w:val="auto"/>
          <w:sz w:val="20"/>
          <w:szCs w:val="20"/>
        </w:rPr>
        <w:id w:val="-988708419"/>
        <w:docPartObj>
          <w:docPartGallery w:val="Table of Contents"/>
          <w:docPartUnique/>
        </w:docPartObj>
      </w:sdtPr>
      <w:sdtEndPr>
        <w:rPr>
          <w:b/>
          <w:bCs/>
          <w:noProof/>
        </w:rPr>
      </w:sdtEndPr>
      <w:sdtContent>
        <w:p w:rsidR="00FF4EA9" w:rsidRPr="00CE614E" w:rsidRDefault="00FF4EA9" w:rsidP="00FF4EA9">
          <w:pPr>
            <w:pStyle w:val="TOCHeading"/>
            <w:jc w:val="center"/>
            <w:rPr>
              <w:rStyle w:val="Heading1Char"/>
              <w:rFonts w:cs="Times New Roman"/>
              <w:color w:val="auto"/>
            </w:rPr>
          </w:pPr>
          <w:r w:rsidRPr="00CE614E">
            <w:rPr>
              <w:rStyle w:val="Heading1Char"/>
              <w:rFonts w:cs="Times New Roman"/>
              <w:color w:val="auto"/>
            </w:rPr>
            <w:t>TURINYS</w:t>
          </w:r>
        </w:p>
        <w:p w:rsidR="00FF4EA9" w:rsidRPr="00CE614E" w:rsidRDefault="00FF4EA9" w:rsidP="00FF4EA9">
          <w:pPr>
            <w:rPr>
              <w:lang w:val="lt-LT"/>
            </w:rPr>
          </w:pPr>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r w:rsidRPr="004F6A3F">
            <w:rPr>
              <w:sz w:val="24"/>
              <w:szCs w:val="24"/>
            </w:rPr>
            <w:fldChar w:fldCharType="begin"/>
          </w:r>
          <w:r w:rsidRPr="008C55DF">
            <w:rPr>
              <w:sz w:val="24"/>
              <w:szCs w:val="24"/>
            </w:rPr>
            <w:instrText xml:space="preserve"> TOC \o "1-3" \h \z \u </w:instrText>
          </w:r>
          <w:r w:rsidRPr="004F6A3F">
            <w:rPr>
              <w:sz w:val="24"/>
              <w:szCs w:val="24"/>
            </w:rPr>
            <w:fldChar w:fldCharType="separate"/>
          </w:r>
          <w:hyperlink w:anchor="_Toc450588537" w:history="1">
            <w:r w:rsidRPr="008C55DF">
              <w:rPr>
                <w:rStyle w:val="Hyperlink"/>
                <w:noProof/>
                <w:sz w:val="24"/>
                <w:szCs w:val="24"/>
                <w:lang w:val="lt-LT"/>
              </w:rPr>
              <w:t>SANTRAUKA</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_Toc450588537 \h </w:instrText>
            </w:r>
            <w:r w:rsidRPr="008C55DF">
              <w:rPr>
                <w:noProof/>
                <w:webHidden/>
                <w:sz w:val="24"/>
                <w:szCs w:val="24"/>
              </w:rPr>
            </w:r>
            <w:r w:rsidRPr="008C55DF">
              <w:rPr>
                <w:noProof/>
                <w:webHidden/>
                <w:sz w:val="24"/>
                <w:szCs w:val="24"/>
              </w:rPr>
              <w:fldChar w:fldCharType="separate"/>
            </w:r>
            <w:r w:rsidRPr="008C55DF">
              <w:rPr>
                <w:noProof/>
                <w:webHidden/>
                <w:sz w:val="24"/>
                <w:szCs w:val="24"/>
              </w:rPr>
              <w:t>2</w:t>
            </w:r>
            <w:r w:rsidRPr="008C55DF">
              <w:rPr>
                <w:noProof/>
                <w:webHidden/>
                <w:sz w:val="24"/>
                <w:szCs w:val="24"/>
              </w:rPr>
              <w:fldChar w:fldCharType="end"/>
            </w:r>
          </w:hyperlink>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hyperlink w:anchor="_Toc450588538" w:history="1">
            <w:r w:rsidRPr="008C55DF">
              <w:rPr>
                <w:rStyle w:val="Hyperlink"/>
                <w:rFonts w:eastAsiaTheme="minorHAnsi"/>
                <w:noProof/>
                <w:sz w:val="24"/>
                <w:szCs w:val="24"/>
                <w:lang w:val="lt-LT"/>
              </w:rPr>
              <w:t>ĮVADAS</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_Toc450588538 \h </w:instrText>
            </w:r>
            <w:r w:rsidRPr="008C55DF">
              <w:rPr>
                <w:noProof/>
                <w:webHidden/>
                <w:sz w:val="24"/>
                <w:szCs w:val="24"/>
              </w:rPr>
            </w:r>
            <w:r w:rsidRPr="008C55DF">
              <w:rPr>
                <w:noProof/>
                <w:webHidden/>
                <w:sz w:val="24"/>
                <w:szCs w:val="24"/>
              </w:rPr>
              <w:fldChar w:fldCharType="separate"/>
            </w:r>
            <w:r w:rsidRPr="008C55DF">
              <w:rPr>
                <w:noProof/>
                <w:webHidden/>
                <w:sz w:val="24"/>
                <w:szCs w:val="24"/>
              </w:rPr>
              <w:t>4</w:t>
            </w:r>
            <w:r w:rsidRPr="008C55DF">
              <w:rPr>
                <w:noProof/>
                <w:webHidden/>
                <w:sz w:val="24"/>
                <w:szCs w:val="24"/>
              </w:rPr>
              <w:fldChar w:fldCharType="end"/>
            </w:r>
          </w:hyperlink>
        </w:p>
        <w:p w:rsidR="00FF4EA9" w:rsidRPr="008C55DF" w:rsidRDefault="00FF4EA9" w:rsidP="00FF4EA9">
          <w:pPr>
            <w:pStyle w:val="TOC1"/>
            <w:tabs>
              <w:tab w:val="clear" w:pos="9344"/>
              <w:tab w:val="left" w:pos="440"/>
              <w:tab w:val="right" w:leader="dot" w:pos="9354"/>
            </w:tabs>
            <w:rPr>
              <w:rFonts w:asciiTheme="minorHAnsi" w:eastAsiaTheme="minorEastAsia" w:hAnsiTheme="minorHAnsi" w:cstheme="minorBidi"/>
              <w:noProof/>
              <w:sz w:val="24"/>
              <w:szCs w:val="24"/>
              <w:lang w:val="lt-LT" w:eastAsia="lt-LT"/>
            </w:rPr>
          </w:pPr>
          <w:hyperlink w:anchor="_Toc450588539" w:history="1">
            <w:r w:rsidRPr="008C55DF">
              <w:rPr>
                <w:rStyle w:val="Hyperlink"/>
                <w:noProof/>
                <w:sz w:val="24"/>
                <w:szCs w:val="24"/>
                <w:lang w:val="lt-LT"/>
              </w:rPr>
              <w:t>1.</w:t>
            </w:r>
            <w:r w:rsidRPr="008C55DF">
              <w:rPr>
                <w:rFonts w:asciiTheme="minorHAnsi" w:eastAsiaTheme="minorEastAsia" w:hAnsiTheme="minorHAnsi" w:cstheme="minorBidi"/>
                <w:noProof/>
                <w:sz w:val="24"/>
                <w:szCs w:val="24"/>
                <w:lang w:val="lt-LT" w:eastAsia="lt-LT"/>
              </w:rPr>
              <w:tab/>
            </w:r>
            <w:r w:rsidRPr="008C55DF">
              <w:rPr>
                <w:rStyle w:val="Hyperlink"/>
                <w:noProof/>
                <w:sz w:val="24"/>
                <w:szCs w:val="24"/>
                <w:lang w:val="lt-LT"/>
              </w:rPr>
              <w:t>SVARBIAUSI UGDYMO MUZIKOS MOKYKLOSE TIKSLAI</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_Toc450588539 \h </w:instrText>
            </w:r>
            <w:r w:rsidRPr="008C55DF">
              <w:rPr>
                <w:noProof/>
                <w:webHidden/>
                <w:sz w:val="24"/>
                <w:szCs w:val="24"/>
              </w:rPr>
            </w:r>
            <w:r w:rsidRPr="008C55DF">
              <w:rPr>
                <w:noProof/>
                <w:webHidden/>
                <w:sz w:val="24"/>
                <w:szCs w:val="24"/>
              </w:rPr>
              <w:fldChar w:fldCharType="separate"/>
            </w:r>
            <w:r w:rsidRPr="008C55DF">
              <w:rPr>
                <w:noProof/>
                <w:webHidden/>
                <w:sz w:val="24"/>
                <w:szCs w:val="24"/>
              </w:rPr>
              <w:t>6</w:t>
            </w:r>
            <w:r w:rsidRPr="008C55DF">
              <w:rPr>
                <w:noProof/>
                <w:webHidden/>
                <w:sz w:val="24"/>
                <w:szCs w:val="24"/>
              </w:rPr>
              <w:fldChar w:fldCharType="end"/>
            </w:r>
          </w:hyperlink>
        </w:p>
        <w:p w:rsidR="00FF4EA9" w:rsidRPr="008C55DF" w:rsidRDefault="00FF4EA9" w:rsidP="00FF4EA9">
          <w:pPr>
            <w:pStyle w:val="TOC2"/>
            <w:tabs>
              <w:tab w:val="right" w:leader="dot" w:pos="9354"/>
            </w:tabs>
            <w:rPr>
              <w:rFonts w:asciiTheme="minorHAnsi" w:eastAsiaTheme="minorEastAsia" w:hAnsiTheme="minorHAnsi" w:cstheme="minorBidi"/>
              <w:lang w:val="lt-LT" w:eastAsia="lt-LT"/>
            </w:rPr>
          </w:pPr>
          <w:hyperlink w:anchor="_Toc450588540" w:history="1">
            <w:r w:rsidRPr="008C55DF">
              <w:rPr>
                <w:rStyle w:val="Hyperlink"/>
                <w:lang w:val="lt-LT"/>
              </w:rPr>
              <w:t>1.1. Muzikinio ugdymo reikšmė skirtingais žmogaus amžiaus tarpsniais</w:t>
            </w:r>
            <w:r w:rsidRPr="008C55DF">
              <w:rPr>
                <w:webHidden/>
              </w:rPr>
              <w:tab/>
            </w:r>
            <w:r w:rsidRPr="008C55DF">
              <w:rPr>
                <w:webHidden/>
              </w:rPr>
              <w:fldChar w:fldCharType="begin"/>
            </w:r>
            <w:r w:rsidRPr="008C55DF">
              <w:rPr>
                <w:webHidden/>
              </w:rPr>
              <w:instrText xml:space="preserve"> PAGEREF _Toc450588540 \h </w:instrText>
            </w:r>
            <w:r w:rsidRPr="008C55DF">
              <w:rPr>
                <w:webHidden/>
              </w:rPr>
            </w:r>
            <w:r w:rsidRPr="008C55DF">
              <w:rPr>
                <w:webHidden/>
              </w:rPr>
              <w:fldChar w:fldCharType="separate"/>
            </w:r>
            <w:r w:rsidRPr="008C55DF">
              <w:rPr>
                <w:webHidden/>
              </w:rPr>
              <w:t>6</w:t>
            </w:r>
            <w:r w:rsidRPr="008C55DF">
              <w:rPr>
                <w:webHidden/>
              </w:rPr>
              <w:fldChar w:fldCharType="end"/>
            </w:r>
          </w:hyperlink>
        </w:p>
        <w:p w:rsidR="00FF4EA9" w:rsidRPr="008C55DF" w:rsidRDefault="00FF4EA9" w:rsidP="00FF4EA9">
          <w:pPr>
            <w:pStyle w:val="TOC2"/>
            <w:tabs>
              <w:tab w:val="right" w:leader="dot" w:pos="9354"/>
            </w:tabs>
            <w:rPr>
              <w:rFonts w:asciiTheme="minorHAnsi" w:eastAsiaTheme="minorEastAsia" w:hAnsiTheme="minorHAnsi" w:cstheme="minorBidi"/>
              <w:lang w:val="lt-LT" w:eastAsia="lt-LT"/>
            </w:rPr>
          </w:pPr>
          <w:hyperlink w:anchor="_Toc450588541" w:history="1">
            <w:r w:rsidRPr="008C55DF">
              <w:rPr>
                <w:rStyle w:val="Hyperlink"/>
              </w:rPr>
              <w:t xml:space="preserve">1.2. </w:t>
            </w:r>
            <w:r w:rsidRPr="008C55DF">
              <w:rPr>
                <w:rStyle w:val="Hyperlink"/>
                <w:lang w:val="lt-LT"/>
              </w:rPr>
              <w:t>Ugdymo muzikos mokykloje bruožai ir specifika</w:t>
            </w:r>
            <w:r w:rsidRPr="008C55DF">
              <w:rPr>
                <w:webHidden/>
              </w:rPr>
              <w:tab/>
            </w:r>
            <w:r w:rsidRPr="008C55DF">
              <w:rPr>
                <w:webHidden/>
              </w:rPr>
              <w:fldChar w:fldCharType="begin"/>
            </w:r>
            <w:r w:rsidRPr="008C55DF">
              <w:rPr>
                <w:webHidden/>
              </w:rPr>
              <w:instrText xml:space="preserve"> PAGEREF _Toc450588541 \h </w:instrText>
            </w:r>
            <w:r w:rsidRPr="008C55DF">
              <w:rPr>
                <w:webHidden/>
              </w:rPr>
            </w:r>
            <w:r w:rsidRPr="008C55DF">
              <w:rPr>
                <w:webHidden/>
              </w:rPr>
              <w:fldChar w:fldCharType="separate"/>
            </w:r>
            <w:r w:rsidRPr="008C55DF">
              <w:rPr>
                <w:webHidden/>
              </w:rPr>
              <w:t>10</w:t>
            </w:r>
            <w:r w:rsidRPr="008C55DF">
              <w:rPr>
                <w:webHidden/>
              </w:rPr>
              <w:fldChar w:fldCharType="end"/>
            </w:r>
          </w:hyperlink>
        </w:p>
        <w:p w:rsidR="00FF4EA9" w:rsidRPr="008C55DF" w:rsidRDefault="00FF4EA9" w:rsidP="00FF4EA9">
          <w:pPr>
            <w:pStyle w:val="TOC2"/>
            <w:tabs>
              <w:tab w:val="right" w:leader="dot" w:pos="9354"/>
            </w:tabs>
            <w:rPr>
              <w:rFonts w:asciiTheme="minorHAnsi" w:eastAsiaTheme="minorEastAsia" w:hAnsiTheme="minorHAnsi" w:cstheme="minorBidi"/>
              <w:lang w:val="lt-LT" w:eastAsia="lt-LT"/>
            </w:rPr>
          </w:pPr>
          <w:hyperlink w:anchor="_Toc450588542" w:history="1">
            <w:r w:rsidRPr="008C55DF">
              <w:rPr>
                <w:rStyle w:val="Hyperlink"/>
                <w:lang w:val="lt-LT"/>
              </w:rPr>
              <w:t>1.3. Šiuolaikinių ugdymo paradigmų ir ugdytinio muzikinės veiklos turinio priešpriešos</w:t>
            </w:r>
            <w:r w:rsidRPr="008C55DF">
              <w:rPr>
                <w:webHidden/>
              </w:rPr>
              <w:tab/>
            </w:r>
            <w:r w:rsidRPr="008C55DF">
              <w:rPr>
                <w:webHidden/>
              </w:rPr>
              <w:fldChar w:fldCharType="begin"/>
            </w:r>
            <w:r w:rsidRPr="008C55DF">
              <w:rPr>
                <w:webHidden/>
              </w:rPr>
              <w:instrText xml:space="preserve"> PAGEREF _Toc450588542 \h </w:instrText>
            </w:r>
            <w:r w:rsidRPr="008C55DF">
              <w:rPr>
                <w:webHidden/>
              </w:rPr>
            </w:r>
            <w:r w:rsidRPr="008C55DF">
              <w:rPr>
                <w:webHidden/>
              </w:rPr>
              <w:fldChar w:fldCharType="separate"/>
            </w:r>
            <w:r w:rsidRPr="008C55DF">
              <w:rPr>
                <w:webHidden/>
              </w:rPr>
              <w:t>14</w:t>
            </w:r>
            <w:r w:rsidRPr="008C55DF">
              <w:rPr>
                <w:webHidden/>
              </w:rPr>
              <w:fldChar w:fldCharType="end"/>
            </w:r>
          </w:hyperlink>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hyperlink w:anchor="_Toc450588543" w:history="1">
            <w:r w:rsidRPr="008C55DF">
              <w:rPr>
                <w:rStyle w:val="Hyperlink"/>
                <w:noProof/>
                <w:sz w:val="24"/>
                <w:szCs w:val="24"/>
                <w:lang w:val="lt-LT"/>
              </w:rPr>
              <w:t>2. UGDYMO ŠIANDIENINĖJE MUZIKOS MOKYKLOJE BRUOŽŲ, REMIANTIS ABSOLVENTŲ MUZIKINĖS VEIKLOS PATIRČIŲ ANALIZE, TYRIMAS</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_Toc450588543 \h </w:instrText>
            </w:r>
            <w:r w:rsidRPr="008C55DF">
              <w:rPr>
                <w:noProof/>
                <w:webHidden/>
                <w:sz w:val="24"/>
                <w:szCs w:val="24"/>
              </w:rPr>
            </w:r>
            <w:r w:rsidRPr="008C55DF">
              <w:rPr>
                <w:noProof/>
                <w:webHidden/>
                <w:sz w:val="24"/>
                <w:szCs w:val="24"/>
              </w:rPr>
              <w:fldChar w:fldCharType="separate"/>
            </w:r>
            <w:r w:rsidRPr="008C55DF">
              <w:rPr>
                <w:noProof/>
                <w:webHidden/>
                <w:sz w:val="24"/>
                <w:szCs w:val="24"/>
              </w:rPr>
              <w:t>17</w:t>
            </w:r>
            <w:r w:rsidRPr="008C55DF">
              <w:rPr>
                <w:noProof/>
                <w:webHidden/>
                <w:sz w:val="24"/>
                <w:szCs w:val="24"/>
              </w:rPr>
              <w:fldChar w:fldCharType="end"/>
            </w:r>
          </w:hyperlink>
        </w:p>
        <w:p w:rsidR="00FF4EA9" w:rsidRPr="008C55DF" w:rsidRDefault="00FF4EA9" w:rsidP="00FF4EA9">
          <w:pPr>
            <w:pStyle w:val="TOC2"/>
            <w:tabs>
              <w:tab w:val="right" w:leader="dot" w:pos="9354"/>
            </w:tabs>
            <w:rPr>
              <w:rFonts w:asciiTheme="minorHAnsi" w:eastAsiaTheme="minorEastAsia" w:hAnsiTheme="minorHAnsi" w:cstheme="minorBidi"/>
              <w:lang w:val="lt-LT" w:eastAsia="lt-LT"/>
            </w:rPr>
          </w:pPr>
          <w:hyperlink w:anchor="_Toc450588544" w:history="1">
            <w:r w:rsidRPr="008C55DF">
              <w:rPr>
                <w:rStyle w:val="Hyperlink"/>
                <w:lang w:val="lt-LT"/>
              </w:rPr>
              <w:t>2.1. Tyrimo metodologijos pagrindimas</w:t>
            </w:r>
            <w:r w:rsidRPr="008C55DF">
              <w:rPr>
                <w:webHidden/>
              </w:rPr>
              <w:tab/>
            </w:r>
            <w:r w:rsidRPr="008C55DF">
              <w:rPr>
                <w:webHidden/>
              </w:rPr>
              <w:fldChar w:fldCharType="begin"/>
            </w:r>
            <w:r w:rsidRPr="008C55DF">
              <w:rPr>
                <w:webHidden/>
              </w:rPr>
              <w:instrText xml:space="preserve"> PAGEREF _Toc450588544 \h </w:instrText>
            </w:r>
            <w:r w:rsidRPr="008C55DF">
              <w:rPr>
                <w:webHidden/>
              </w:rPr>
            </w:r>
            <w:r w:rsidRPr="008C55DF">
              <w:rPr>
                <w:webHidden/>
              </w:rPr>
              <w:fldChar w:fldCharType="separate"/>
            </w:r>
            <w:r w:rsidRPr="008C55DF">
              <w:rPr>
                <w:webHidden/>
              </w:rPr>
              <w:t>17</w:t>
            </w:r>
            <w:r w:rsidRPr="008C55DF">
              <w:rPr>
                <w:webHidden/>
              </w:rPr>
              <w:fldChar w:fldCharType="end"/>
            </w:r>
          </w:hyperlink>
        </w:p>
        <w:p w:rsidR="00FF4EA9" w:rsidRPr="008C55DF" w:rsidRDefault="00FF4EA9" w:rsidP="00FF4EA9">
          <w:pPr>
            <w:pStyle w:val="TOC2"/>
            <w:tabs>
              <w:tab w:val="right" w:leader="dot" w:pos="9354"/>
            </w:tabs>
            <w:rPr>
              <w:rFonts w:asciiTheme="minorHAnsi" w:eastAsiaTheme="minorEastAsia" w:hAnsiTheme="minorHAnsi" w:cstheme="minorBidi"/>
              <w:lang w:val="lt-LT" w:eastAsia="lt-LT"/>
            </w:rPr>
          </w:pPr>
          <w:hyperlink w:anchor="_Toc450588545" w:history="1">
            <w:r w:rsidRPr="008C55DF">
              <w:rPr>
                <w:rStyle w:val="Hyperlink"/>
                <w:rFonts w:eastAsiaTheme="minorHAnsi"/>
                <w:lang w:val="lt-LT"/>
              </w:rPr>
              <w:t>2.2. Tyrimo duomenų rezultatai ir jų analizė</w:t>
            </w:r>
            <w:r w:rsidRPr="008C55DF">
              <w:rPr>
                <w:webHidden/>
              </w:rPr>
              <w:tab/>
            </w:r>
            <w:r w:rsidRPr="008C55DF">
              <w:rPr>
                <w:webHidden/>
              </w:rPr>
              <w:fldChar w:fldCharType="begin"/>
            </w:r>
            <w:r w:rsidRPr="008C55DF">
              <w:rPr>
                <w:webHidden/>
              </w:rPr>
              <w:instrText xml:space="preserve"> PAGEREF _Toc450588545 \h </w:instrText>
            </w:r>
            <w:r w:rsidRPr="008C55DF">
              <w:rPr>
                <w:webHidden/>
              </w:rPr>
            </w:r>
            <w:r w:rsidRPr="008C55DF">
              <w:rPr>
                <w:webHidden/>
              </w:rPr>
              <w:fldChar w:fldCharType="separate"/>
            </w:r>
            <w:r w:rsidRPr="008C55DF">
              <w:rPr>
                <w:webHidden/>
              </w:rPr>
              <w:t>18</w:t>
            </w:r>
            <w:r w:rsidRPr="008C55DF">
              <w:rPr>
                <w:webHidden/>
              </w:rPr>
              <w:fldChar w:fldCharType="end"/>
            </w:r>
          </w:hyperlink>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hyperlink w:anchor="_Toc450588546" w:history="1">
            <w:r w:rsidRPr="008C55DF">
              <w:rPr>
                <w:rStyle w:val="Hyperlink"/>
                <w:rFonts w:eastAsiaTheme="minorHAnsi"/>
                <w:noProof/>
                <w:sz w:val="24"/>
                <w:szCs w:val="24"/>
                <w:lang w:val="lt-LT"/>
              </w:rPr>
              <w:t>IŠVADOS</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_Toc450588546 \h </w:instrText>
            </w:r>
            <w:r w:rsidRPr="008C55DF">
              <w:rPr>
                <w:noProof/>
                <w:webHidden/>
                <w:sz w:val="24"/>
                <w:szCs w:val="24"/>
              </w:rPr>
            </w:r>
            <w:r w:rsidRPr="008C55DF">
              <w:rPr>
                <w:noProof/>
                <w:webHidden/>
                <w:sz w:val="24"/>
                <w:szCs w:val="24"/>
              </w:rPr>
              <w:fldChar w:fldCharType="separate"/>
            </w:r>
            <w:r w:rsidRPr="008C55DF">
              <w:rPr>
                <w:noProof/>
                <w:webHidden/>
                <w:sz w:val="24"/>
                <w:szCs w:val="24"/>
              </w:rPr>
              <w:t>38</w:t>
            </w:r>
            <w:r w:rsidRPr="008C55DF">
              <w:rPr>
                <w:noProof/>
                <w:webHidden/>
                <w:sz w:val="24"/>
                <w:szCs w:val="24"/>
              </w:rPr>
              <w:fldChar w:fldCharType="end"/>
            </w:r>
          </w:hyperlink>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hyperlink w:anchor="_Toc450588547" w:history="1">
            <w:r w:rsidRPr="008C55DF">
              <w:rPr>
                <w:rStyle w:val="Hyperlink"/>
                <w:rFonts w:eastAsiaTheme="minorHAnsi"/>
                <w:noProof/>
                <w:sz w:val="24"/>
                <w:szCs w:val="24"/>
                <w:lang w:val="lt-LT"/>
              </w:rPr>
              <w:t>REKOMENDACIJOS</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_Toc450588547 \h </w:instrText>
            </w:r>
            <w:r w:rsidRPr="008C55DF">
              <w:rPr>
                <w:noProof/>
                <w:webHidden/>
                <w:sz w:val="24"/>
                <w:szCs w:val="24"/>
              </w:rPr>
            </w:r>
            <w:r w:rsidRPr="008C55DF">
              <w:rPr>
                <w:noProof/>
                <w:webHidden/>
                <w:sz w:val="24"/>
                <w:szCs w:val="24"/>
              </w:rPr>
              <w:fldChar w:fldCharType="separate"/>
            </w:r>
            <w:r w:rsidRPr="008C55DF">
              <w:rPr>
                <w:noProof/>
                <w:webHidden/>
                <w:sz w:val="24"/>
                <w:szCs w:val="24"/>
              </w:rPr>
              <w:t>39</w:t>
            </w:r>
            <w:r w:rsidRPr="008C55DF">
              <w:rPr>
                <w:noProof/>
                <w:webHidden/>
                <w:sz w:val="24"/>
                <w:szCs w:val="24"/>
              </w:rPr>
              <w:fldChar w:fldCharType="end"/>
            </w:r>
          </w:hyperlink>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hyperlink w:anchor="_Toc450588548" w:history="1">
            <w:r w:rsidRPr="008C55DF">
              <w:rPr>
                <w:rStyle w:val="Hyperlink"/>
                <w:noProof/>
                <w:sz w:val="24"/>
                <w:szCs w:val="24"/>
                <w:lang w:val="lt-LT"/>
              </w:rPr>
              <w:t>LITERATŪROS SĄRAŠAS</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_Toc450588548 \h </w:instrText>
            </w:r>
            <w:r w:rsidRPr="008C55DF">
              <w:rPr>
                <w:noProof/>
                <w:webHidden/>
                <w:sz w:val="24"/>
                <w:szCs w:val="24"/>
              </w:rPr>
            </w:r>
            <w:r w:rsidRPr="008C55DF">
              <w:rPr>
                <w:noProof/>
                <w:webHidden/>
                <w:sz w:val="24"/>
                <w:szCs w:val="24"/>
              </w:rPr>
              <w:fldChar w:fldCharType="separate"/>
            </w:r>
            <w:r w:rsidRPr="008C55DF">
              <w:rPr>
                <w:noProof/>
                <w:webHidden/>
                <w:sz w:val="24"/>
                <w:szCs w:val="24"/>
              </w:rPr>
              <w:t>40</w:t>
            </w:r>
            <w:r w:rsidRPr="008C55DF">
              <w:rPr>
                <w:noProof/>
                <w:webHidden/>
                <w:sz w:val="24"/>
                <w:szCs w:val="24"/>
              </w:rPr>
              <w:fldChar w:fldCharType="end"/>
            </w:r>
          </w:hyperlink>
        </w:p>
        <w:p w:rsidR="00FF4EA9" w:rsidRPr="008C55DF" w:rsidRDefault="00FF4EA9" w:rsidP="00FF4EA9">
          <w:pPr>
            <w:pStyle w:val="TOC1"/>
            <w:tabs>
              <w:tab w:val="clear" w:pos="9344"/>
              <w:tab w:val="right" w:leader="dot" w:pos="9354"/>
            </w:tabs>
            <w:rPr>
              <w:rFonts w:asciiTheme="minorHAnsi" w:eastAsiaTheme="minorEastAsia" w:hAnsiTheme="minorHAnsi" w:cstheme="minorBidi"/>
              <w:noProof/>
              <w:sz w:val="24"/>
              <w:szCs w:val="24"/>
              <w:lang w:val="lt-LT" w:eastAsia="lt-LT"/>
            </w:rPr>
          </w:pPr>
          <w:hyperlink w:anchor="_Toc450588549" w:history="1">
            <w:r w:rsidRPr="008C55DF">
              <w:rPr>
                <w:rStyle w:val="Hyperlink"/>
                <w:rFonts w:eastAsiaTheme="minorHAnsi"/>
                <w:noProof/>
                <w:sz w:val="24"/>
                <w:szCs w:val="24"/>
                <w:lang w:val="lt-LT"/>
              </w:rPr>
              <w:t>PRIEDAI</w:t>
            </w:r>
            <w:r w:rsidRPr="008C55DF">
              <w:rPr>
                <w:noProof/>
                <w:webHidden/>
                <w:sz w:val="24"/>
                <w:szCs w:val="24"/>
              </w:rPr>
              <w:tab/>
            </w:r>
            <w:r w:rsidRPr="008C55DF">
              <w:rPr>
                <w:noProof/>
                <w:webHidden/>
                <w:sz w:val="24"/>
                <w:szCs w:val="24"/>
              </w:rPr>
              <w:fldChar w:fldCharType="begin"/>
            </w:r>
            <w:r w:rsidRPr="008C55DF">
              <w:rPr>
                <w:noProof/>
                <w:webHidden/>
                <w:sz w:val="24"/>
                <w:szCs w:val="24"/>
              </w:rPr>
              <w:instrText xml:space="preserve"> PAGEREF _Toc450588549 \h </w:instrText>
            </w:r>
            <w:r w:rsidRPr="008C55DF">
              <w:rPr>
                <w:noProof/>
                <w:webHidden/>
                <w:sz w:val="24"/>
                <w:szCs w:val="24"/>
              </w:rPr>
            </w:r>
            <w:r w:rsidRPr="008C55DF">
              <w:rPr>
                <w:noProof/>
                <w:webHidden/>
                <w:sz w:val="24"/>
                <w:szCs w:val="24"/>
              </w:rPr>
              <w:fldChar w:fldCharType="separate"/>
            </w:r>
            <w:r w:rsidRPr="008C55DF">
              <w:rPr>
                <w:noProof/>
                <w:webHidden/>
                <w:sz w:val="24"/>
                <w:szCs w:val="24"/>
              </w:rPr>
              <w:t>43</w:t>
            </w:r>
            <w:r w:rsidRPr="008C55DF">
              <w:rPr>
                <w:noProof/>
                <w:webHidden/>
                <w:sz w:val="24"/>
                <w:szCs w:val="24"/>
              </w:rPr>
              <w:fldChar w:fldCharType="end"/>
            </w:r>
          </w:hyperlink>
        </w:p>
        <w:p w:rsidR="00FF4EA9" w:rsidRDefault="00FF4EA9" w:rsidP="00FF4EA9">
          <w:pPr>
            <w:pStyle w:val="TOC2"/>
            <w:tabs>
              <w:tab w:val="right" w:leader="dot" w:pos="9354"/>
            </w:tabs>
            <w:rPr>
              <w:rFonts w:asciiTheme="minorHAnsi" w:eastAsiaTheme="minorEastAsia" w:hAnsiTheme="minorHAnsi" w:cstheme="minorBidi"/>
              <w:sz w:val="22"/>
              <w:szCs w:val="22"/>
              <w:lang w:val="lt-LT" w:eastAsia="lt-LT"/>
            </w:rPr>
          </w:pPr>
          <w:hyperlink w:anchor="_Toc450588550" w:history="1">
            <w:r w:rsidRPr="008C55DF">
              <w:rPr>
                <w:rStyle w:val="Hyperlink"/>
              </w:rPr>
              <w:t>1. Priedas</w:t>
            </w:r>
            <w:r w:rsidRPr="008C55DF">
              <w:rPr>
                <w:webHidden/>
              </w:rPr>
              <w:tab/>
            </w:r>
            <w:r w:rsidRPr="008C55DF">
              <w:rPr>
                <w:webHidden/>
              </w:rPr>
              <w:fldChar w:fldCharType="begin"/>
            </w:r>
            <w:r w:rsidRPr="008C55DF">
              <w:rPr>
                <w:webHidden/>
              </w:rPr>
              <w:instrText xml:space="preserve"> PAGEREF _Toc450588550 \h </w:instrText>
            </w:r>
            <w:r w:rsidRPr="008C55DF">
              <w:rPr>
                <w:webHidden/>
              </w:rPr>
            </w:r>
            <w:r w:rsidRPr="008C55DF">
              <w:rPr>
                <w:webHidden/>
              </w:rPr>
              <w:fldChar w:fldCharType="separate"/>
            </w:r>
            <w:r w:rsidRPr="008C55DF">
              <w:rPr>
                <w:webHidden/>
              </w:rPr>
              <w:t>43</w:t>
            </w:r>
            <w:r w:rsidRPr="008C55DF">
              <w:rPr>
                <w:webHidden/>
              </w:rPr>
              <w:fldChar w:fldCharType="end"/>
            </w:r>
          </w:hyperlink>
        </w:p>
        <w:p w:rsidR="00FF4EA9" w:rsidRDefault="00FF4EA9" w:rsidP="00FF4EA9">
          <w:pPr>
            <w:jc w:val="both"/>
            <w:rPr>
              <w:b/>
              <w:bCs/>
              <w:noProof/>
            </w:rPr>
          </w:pPr>
          <w:r w:rsidRPr="008C55DF">
            <w:rPr>
              <w:b/>
              <w:bCs/>
              <w:noProof/>
              <w:sz w:val="24"/>
              <w:szCs w:val="24"/>
            </w:rPr>
            <w:fldChar w:fldCharType="end"/>
          </w:r>
        </w:p>
      </w:sdtContent>
    </w:sdt>
    <w:p w:rsidR="00FF4EA9" w:rsidRDefault="00FF4EA9" w:rsidP="00FF4EA9">
      <w:pPr>
        <w:pStyle w:val="Heading2"/>
        <w:spacing w:line="360" w:lineRule="auto"/>
        <w:ind w:firstLine="567"/>
        <w:rPr>
          <w:rFonts w:cs="Times New Roman"/>
        </w:rPr>
      </w:pPr>
    </w:p>
    <w:p w:rsidR="00FF4EA9" w:rsidRPr="00CE614E" w:rsidRDefault="00FF4EA9" w:rsidP="00FF4EA9">
      <w:pPr>
        <w:pStyle w:val="Heading2"/>
        <w:spacing w:line="360" w:lineRule="auto"/>
        <w:ind w:firstLine="567"/>
        <w:rPr>
          <w:rFonts w:cs="Times New Roman"/>
        </w:rPr>
      </w:pPr>
      <w:r w:rsidRPr="00CE614E">
        <w:rPr>
          <w:rFonts w:cs="Times New Roman"/>
        </w:rPr>
        <w:t xml:space="preserve">1.2. </w:t>
      </w:r>
      <w:r w:rsidRPr="00CE614E">
        <w:rPr>
          <w:rFonts w:cs="Times New Roman"/>
          <w:lang w:val="lt-LT"/>
        </w:rPr>
        <w:t>Ugdymo muzikos mokykloje bruožai ir specifika</w:t>
      </w:r>
      <w:bookmarkEnd w:id="0"/>
    </w:p>
    <w:p w:rsidR="00FF4EA9" w:rsidRPr="00CE614E" w:rsidRDefault="00FF4EA9" w:rsidP="00FF4EA9">
      <w:pPr>
        <w:spacing w:line="360" w:lineRule="auto"/>
      </w:pP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 xml:space="preserve">Švietimas yra kiekvienos valstybės kultūros pagrindas. Lietuvos Respublikos švietimo įstatymas pirmame straipsnyje (2011) teigia, kad „švietimas – veikla, kuria siekiama suteikti asmeniui visaverčio savarankiško gyvenimo pagrindus ir padėti jam nuolat tobulinti savo gebėjimus.“ Įstatymas nurodo, kad mokytis yra prigimtinė kiekvieno žmogaus teisė, o švietimas saugo ir kuria tautos tapatybę, perduoda vertybes, kurios daro žmogaus gyvenimą prasmingą, visuomenės gyvenimą – darnų ir solidarų, valstybės – pažangų ir saugų. Švietimas savo paskirtį geriausiai atlieka tada, kai jo raida lenkia bendrąją visuomenės raidą. Jis yra </w:t>
      </w:r>
      <w:proofErr w:type="spellStart"/>
      <w:r w:rsidRPr="00CE614E">
        <w:rPr>
          <w:sz w:val="24"/>
          <w:szCs w:val="24"/>
          <w:lang w:val="lt-LT"/>
        </w:rPr>
        <w:t>prioritetiškai</w:t>
      </w:r>
      <w:proofErr w:type="spellEnd"/>
      <w:r w:rsidRPr="00CE614E">
        <w:rPr>
          <w:sz w:val="24"/>
          <w:szCs w:val="24"/>
          <w:lang w:val="lt-LT"/>
        </w:rPr>
        <w:t xml:space="preserve"> valstybės remiama visuomenės raidos sritis (Lietuvos Respublikos švietimo įstatymas, 2011). </w:t>
      </w: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 xml:space="preserve">Lietuvos Respublikos švietimo įstatyme vartojamą sąvoką „neformalusis vaikų švietimas“ siūloma keisti sąvoka „Pasirenkamasis vaikų ugdymas“. Pasirenkamojo vaikų ugdymo paskirtis – tenkinti pagal bendrojo ugdymo programas besimokančių vaikų ir jaunimo iki 19 metų (specialiųjų poreikių iki 21 metų) pažinimo, ugdymosi ir saviraiškos poreikius, padėti jiems tapti aktyviais visuomenės nariais (Neformaliojo vaikų švietimo Koncepcija, 2012, 3 str., 1 sk., 11 </w:t>
      </w:r>
      <w:proofErr w:type="spellStart"/>
      <w:r w:rsidRPr="00CE614E">
        <w:rPr>
          <w:sz w:val="24"/>
          <w:szCs w:val="24"/>
          <w:lang w:val="lt-LT"/>
        </w:rPr>
        <w:t>posk</w:t>
      </w:r>
      <w:proofErr w:type="spellEnd"/>
      <w:r w:rsidRPr="00CE614E">
        <w:rPr>
          <w:sz w:val="24"/>
          <w:szCs w:val="24"/>
          <w:lang w:val="lt-LT"/>
        </w:rPr>
        <w:t xml:space="preserve">.). </w:t>
      </w:r>
      <w:r w:rsidRPr="00CE614E">
        <w:rPr>
          <w:sz w:val="24"/>
          <w:szCs w:val="24"/>
          <w:lang w:val="lt-LT"/>
        </w:rPr>
        <w:lastRenderedPageBreak/>
        <w:t>Švietimas yra  skirstomas į formalųjį ir pasirenkamąjį švietimą. Pasirenkamasis švietimas naudingas, nes pasak G. Juškinės (2012) vien tik formalaus ugdymo neužtenka, nes tik tokio ugdymo metu gaunamų žinių neužtenka norint išugdyti visapusiškai išsilavinusią asmenybę, reikia ir papildomos veiklos, kuri padėtų atskleisti prigimtines žmogaus galias (gebėjimą kūrybiškai, meniškai suvokti supantį pasaulį, gebėjimą bendrauti ir bendradarbiauti ir pan.). Pasirenkamasis vaikų ugdymas yra skirstomas į.</w:t>
      </w:r>
    </w:p>
    <w:p w:rsidR="00FF4EA9" w:rsidRPr="00CE614E" w:rsidRDefault="00FF4EA9" w:rsidP="00FF4EA9">
      <w:pPr>
        <w:pStyle w:val="ListParagraph"/>
        <w:numPr>
          <w:ilvl w:val="0"/>
          <w:numId w:val="1"/>
        </w:numPr>
        <w:shd w:val="clear" w:color="auto" w:fill="FFFFFF"/>
        <w:spacing w:line="360" w:lineRule="auto"/>
        <w:jc w:val="both"/>
        <w:rPr>
          <w:sz w:val="24"/>
          <w:szCs w:val="24"/>
          <w:lang w:val="lt-LT"/>
        </w:rPr>
      </w:pPr>
      <w:r w:rsidRPr="00CE614E">
        <w:rPr>
          <w:sz w:val="24"/>
          <w:szCs w:val="24"/>
          <w:lang w:val="lt-LT"/>
        </w:rPr>
        <w:t>Neformalųjį švietimą, kurio paskirtis – ugdyti vaiko gyvenimo įgūdžius, asmenines, socialines ir kitas bendrąsias kompetencijas. Neformaliojo vaikų ugdymo programas gali vykdyti neformaliojo vaikų švietimo mokyklos ir kitos švietimo įstaigos, laisvieji mokytojai, kiti švietimo teikėjai (Neformaliojo vaikų švietimo Koncepcija, 2012).</w:t>
      </w:r>
    </w:p>
    <w:p w:rsidR="00FF4EA9" w:rsidRPr="00CE614E" w:rsidRDefault="00FF4EA9" w:rsidP="00FF4EA9">
      <w:pPr>
        <w:pStyle w:val="ListParagraph"/>
        <w:numPr>
          <w:ilvl w:val="0"/>
          <w:numId w:val="1"/>
        </w:numPr>
        <w:shd w:val="clear" w:color="auto" w:fill="FFFFFF"/>
        <w:spacing w:line="360" w:lineRule="auto"/>
        <w:jc w:val="both"/>
        <w:rPr>
          <w:sz w:val="24"/>
          <w:szCs w:val="24"/>
          <w:lang w:val="lt-LT"/>
        </w:rPr>
      </w:pPr>
      <w:r w:rsidRPr="00CE614E">
        <w:rPr>
          <w:sz w:val="24"/>
          <w:szCs w:val="24"/>
          <w:lang w:val="lt-LT"/>
        </w:rPr>
        <w:t xml:space="preserve">Formalųjį švietimą papildantį, kurio paskirtis – pagal ilgalaikes programas </w:t>
      </w:r>
      <w:proofErr w:type="spellStart"/>
      <w:r w:rsidRPr="00CE614E">
        <w:rPr>
          <w:sz w:val="24"/>
          <w:szCs w:val="24"/>
          <w:lang w:val="lt-LT"/>
        </w:rPr>
        <w:t>sistemiškai</w:t>
      </w:r>
      <w:proofErr w:type="spellEnd"/>
      <w:r w:rsidRPr="00CE614E">
        <w:rPr>
          <w:sz w:val="24"/>
          <w:szCs w:val="24"/>
          <w:lang w:val="lt-LT"/>
        </w:rPr>
        <w:t xml:space="preserve"> plėsti tam tikros srities žinias, stiprinti gebėjimus ir įgūdžius bei suteikti asmeniui papildomų dalykinių ir bendrųjų kompetencijų. Formalųjį švietimą papildančio ugdymo programas vykdo muzikos, dailės bei kitos menų ir sporto mokyklos  (Neformaliojo vaikų švietimo Koncepcija, 2012). </w:t>
      </w: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 xml:space="preserve">Formalųjį švietimą papildančiam ugdymui priskiriamos ir muzikos mokyklos, kurių bruožai ir specifika, deja, bet beveik nesikeičia nuo pat mokyklų įkūrimo - praeito amžiaus penktojo dešimtmečio. Šią tezę patvirtina G. </w:t>
      </w:r>
      <w:proofErr w:type="spellStart"/>
      <w:r w:rsidRPr="00CE614E">
        <w:rPr>
          <w:sz w:val="24"/>
          <w:szCs w:val="24"/>
          <w:lang w:val="lt-LT"/>
        </w:rPr>
        <w:t>Gabnytės</w:t>
      </w:r>
      <w:proofErr w:type="spellEnd"/>
      <w:r w:rsidRPr="00CE614E">
        <w:rPr>
          <w:sz w:val="24"/>
          <w:szCs w:val="24"/>
          <w:lang w:val="lt-LT"/>
        </w:rPr>
        <w:t xml:space="preserve"> ir D. </w:t>
      </w:r>
      <w:proofErr w:type="spellStart"/>
      <w:r w:rsidRPr="00CE614E">
        <w:rPr>
          <w:sz w:val="24"/>
          <w:szCs w:val="24"/>
          <w:lang w:val="lt-LT"/>
        </w:rPr>
        <w:t>Strakšienės</w:t>
      </w:r>
      <w:proofErr w:type="spellEnd"/>
      <w:r w:rsidRPr="00CE614E">
        <w:rPr>
          <w:sz w:val="24"/>
          <w:szCs w:val="24"/>
          <w:lang w:val="lt-LT"/>
        </w:rPr>
        <w:t xml:space="preserve"> 2012 metais atlikta muzikos mokyklų vadovų apklausa, kurios metu paaiškėjo, jog muzikos bei meno mokyklose vykdomas ugdymas yra vis dar veikiamas praeito amžiaus tradicijų, kurioms galima priskirti direktyvų vadovavimą, estetiško tobulumo meninio rezultato siekiamybę ir uždarumą inovacijų sklaidai. Tokių bruožų kupina muzikos mokykla yra netobulėjanti, nešiuolaikiška įstaiga. Neveltui E. Ignatonis (1998,</w:t>
      </w:r>
      <w:r>
        <w:rPr>
          <w:sz w:val="24"/>
          <w:szCs w:val="24"/>
          <w:lang w:val="lt-LT"/>
        </w:rPr>
        <w:t xml:space="preserve"> p.</w:t>
      </w:r>
      <w:r w:rsidRPr="00CE614E">
        <w:rPr>
          <w:sz w:val="24"/>
          <w:szCs w:val="24"/>
          <w:lang w:val="lt-LT"/>
        </w:rPr>
        <w:t xml:space="preserve"> 7</w:t>
      </w:r>
      <w:r>
        <w:rPr>
          <w:sz w:val="24"/>
          <w:szCs w:val="24"/>
          <w:lang w:val="lt-LT"/>
        </w:rPr>
        <w:t>2</w:t>
      </w:r>
      <w:r w:rsidRPr="00CE614E">
        <w:rPr>
          <w:sz w:val="24"/>
          <w:szCs w:val="24"/>
          <w:lang w:val="lt-LT"/>
        </w:rPr>
        <w:t xml:space="preserve">) teigia, kad „nuolatinis atsinaujinimas ir tradicijų laikymasis – pedagogikos dabartis ir ateitis“, todėl muzikos mokyklos ir jų pedagogai turėtų tobulėti, mokytis, bet nepamiršti išsaugoti Lietuvos kultūros tradicijas. </w:t>
      </w:r>
    </w:p>
    <w:p w:rsidR="00FF4EA9" w:rsidRPr="00CE614E" w:rsidRDefault="00FF4EA9" w:rsidP="00FF4EA9">
      <w:pPr>
        <w:shd w:val="clear" w:color="auto" w:fill="FFFFFF"/>
        <w:spacing w:line="360" w:lineRule="auto"/>
        <w:ind w:firstLine="567"/>
        <w:jc w:val="both"/>
        <w:rPr>
          <w:color w:val="FF0000"/>
          <w:sz w:val="24"/>
          <w:szCs w:val="24"/>
          <w:lang w:val="lt-LT"/>
        </w:rPr>
      </w:pPr>
      <w:r w:rsidRPr="00CE614E">
        <w:rPr>
          <w:sz w:val="24"/>
          <w:szCs w:val="24"/>
          <w:lang w:val="lt-LT"/>
        </w:rPr>
        <w:t xml:space="preserve">Vienas iš opiausių šiuolaikinės muzikos mokyklos problemų – specialybės dalyko programų ribotumas. G. </w:t>
      </w:r>
      <w:proofErr w:type="spellStart"/>
      <w:r w:rsidRPr="00CE614E">
        <w:rPr>
          <w:sz w:val="24"/>
          <w:szCs w:val="24"/>
          <w:lang w:val="lt-LT"/>
        </w:rPr>
        <w:t>Gabnytės</w:t>
      </w:r>
      <w:proofErr w:type="spellEnd"/>
      <w:r w:rsidRPr="00CE614E">
        <w:rPr>
          <w:sz w:val="24"/>
          <w:szCs w:val="24"/>
          <w:lang w:val="lt-LT"/>
        </w:rPr>
        <w:t xml:space="preserve"> 2011 metų muzikos mokyklų programų analizės metu paaiškėjo, jog didžioji dalis fortepijono (kaip pagrindinio instrumento) programų yra sutelktos į muziko profesionalo rengimą. Atrodytų, kad problemos nėra – muzikos mokyklos puikiai paruošia muzikus toliau tęsti studijas Lietuvos ar užsienio universitetuose, bet blogiausia, kad tik 3 proc. absolventų muzikos studijas pasirenka kaip tolesnį savo gyvenimo kelią. Labiausiai nuo to nukenčia likę 97 proc. absolventų, kurie mokytojų buvo spaudžiami siekti aukštų grojimo standartų. Kaip žinia, didelė dalis mokinių jau mokymo eigoje sustabdo savo muzikos mokslus, nes nebetenka muzikavimo malonumo. Pasak E. </w:t>
      </w:r>
      <w:proofErr w:type="spellStart"/>
      <w:r w:rsidRPr="00CE614E">
        <w:rPr>
          <w:sz w:val="24"/>
          <w:szCs w:val="24"/>
          <w:lang w:val="lt-LT"/>
        </w:rPr>
        <w:t>Gordono</w:t>
      </w:r>
      <w:proofErr w:type="spellEnd"/>
      <w:r w:rsidRPr="00CE614E">
        <w:rPr>
          <w:sz w:val="24"/>
          <w:szCs w:val="24"/>
          <w:lang w:val="lt-LT"/>
        </w:rPr>
        <w:t xml:space="preserve"> (1999), galime daryti prielaidą, kad mokiniai, kurie mokosi muzikos pradeda jos neapkęsti dėl netinkamo muzikos mokymo. Autoriaus teigimu, jei muzikos pamokoje vyrauja tik pratimų dainavimas, atminties įgūdžių lavinimas, simboliai ar faktai, tuomet mokiniai nuobodžiauja. „Pratimų ir faktų įsiminimas mažai padeda tam, kad muzika būtų kuriama ir prasmingai suvokiama. Vaikams įkyri mokymo metodas, o ne pati muzika“ (</w:t>
      </w:r>
      <w:proofErr w:type="spellStart"/>
      <w:r w:rsidRPr="00CE614E">
        <w:rPr>
          <w:sz w:val="24"/>
          <w:szCs w:val="24"/>
          <w:lang w:val="lt-LT"/>
        </w:rPr>
        <w:t>Gordon</w:t>
      </w:r>
      <w:proofErr w:type="spellEnd"/>
      <w:r w:rsidRPr="00CE614E">
        <w:rPr>
          <w:sz w:val="24"/>
          <w:szCs w:val="24"/>
          <w:lang w:val="lt-LT"/>
        </w:rPr>
        <w:t>, 1999,</w:t>
      </w:r>
      <w:r>
        <w:rPr>
          <w:sz w:val="24"/>
          <w:szCs w:val="24"/>
          <w:lang w:val="lt-LT"/>
        </w:rPr>
        <w:t xml:space="preserve"> p.</w:t>
      </w:r>
      <w:r w:rsidRPr="00CE614E">
        <w:rPr>
          <w:sz w:val="24"/>
          <w:szCs w:val="24"/>
          <w:lang w:val="lt-LT"/>
        </w:rPr>
        <w:t xml:space="preserve"> 11). Išeitis galėtų būti skirtingų diferencijuotų programų naudojimas, „˂...˃ kadangi muzikinis lavinimas nėra tik tiems vaikams, kurie ruošiasi tapti profesionaliais muzikantais“ (</w:t>
      </w:r>
      <w:proofErr w:type="spellStart"/>
      <w:r w:rsidRPr="00CE614E">
        <w:rPr>
          <w:sz w:val="24"/>
          <w:szCs w:val="24"/>
          <w:lang w:val="lt-LT"/>
        </w:rPr>
        <w:t>Gordon</w:t>
      </w:r>
      <w:proofErr w:type="spellEnd"/>
      <w:r w:rsidRPr="00CE614E">
        <w:rPr>
          <w:sz w:val="24"/>
          <w:szCs w:val="24"/>
          <w:lang w:val="lt-LT"/>
        </w:rPr>
        <w:t>, 1999,</w:t>
      </w:r>
      <w:r>
        <w:rPr>
          <w:sz w:val="24"/>
          <w:szCs w:val="24"/>
          <w:lang w:val="lt-LT"/>
        </w:rPr>
        <w:t xml:space="preserve"> p.</w:t>
      </w:r>
      <w:r w:rsidRPr="00CE614E">
        <w:rPr>
          <w:sz w:val="24"/>
          <w:szCs w:val="24"/>
          <w:lang w:val="lt-LT"/>
        </w:rPr>
        <w:t xml:space="preserve"> 10) </w:t>
      </w: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 xml:space="preserve">Greta minėtų ugdymo muzikos mokyklose problemų, reikšmingas ir mokymo(si) rezultatų vertinimo aspektas. Mokslininkai teigia, jog muzikos pedagogams trūksta žinių kaip vertinimo procesas turėtų vykti. Tai įrodo R. </w:t>
      </w:r>
      <w:proofErr w:type="spellStart"/>
      <w:r w:rsidRPr="00CE614E">
        <w:rPr>
          <w:sz w:val="24"/>
          <w:szCs w:val="24"/>
          <w:lang w:val="lt-LT"/>
        </w:rPr>
        <w:t>Girdzijauskienės</w:t>
      </w:r>
      <w:proofErr w:type="spellEnd"/>
      <w:r w:rsidRPr="00CE614E">
        <w:rPr>
          <w:sz w:val="24"/>
          <w:szCs w:val="24"/>
          <w:lang w:val="lt-LT"/>
        </w:rPr>
        <w:t xml:space="preserve"> 2008 metais atliktas tyrimas, kurio metu buvo išsiaiškinta, kad muzikos mokytojams trūksta informacijos, kokiais metodais turėtų būti vertinami mokinių muzikiniai pasiekimai. A. </w:t>
      </w:r>
      <w:proofErr w:type="spellStart"/>
      <w:r w:rsidRPr="00CE614E">
        <w:rPr>
          <w:sz w:val="24"/>
          <w:szCs w:val="24"/>
          <w:lang w:val="lt-LT"/>
        </w:rPr>
        <w:t>Kriščiūnaitė</w:t>
      </w:r>
      <w:proofErr w:type="spellEnd"/>
      <w:r w:rsidRPr="00CE614E">
        <w:rPr>
          <w:sz w:val="24"/>
          <w:szCs w:val="24"/>
          <w:lang w:val="lt-LT"/>
        </w:rPr>
        <w:t xml:space="preserve">, D. </w:t>
      </w:r>
      <w:proofErr w:type="spellStart"/>
      <w:r w:rsidRPr="00CE614E">
        <w:rPr>
          <w:sz w:val="24"/>
          <w:szCs w:val="24"/>
          <w:lang w:val="lt-LT"/>
        </w:rPr>
        <w:t>Strakšienė</w:t>
      </w:r>
      <w:proofErr w:type="spellEnd"/>
      <w:r w:rsidRPr="00CE614E">
        <w:rPr>
          <w:sz w:val="24"/>
          <w:szCs w:val="24"/>
          <w:lang w:val="lt-LT"/>
        </w:rPr>
        <w:t xml:space="preserve">, J. Deveikytė (2011) nustatė jog dauguma muzikos mokyklų pedagogų vertinimą pasitelkia kovojimui su drausmės problemomis, sąmoningu pamokų nelankymu ar vėlavimu, nusirašinėjimu. Blogiausia, kad studentų, kurie yra būsimieji muzikos mokyklos mokytojai, suvokimas apie vertinimą buvo panašus. A. </w:t>
      </w:r>
      <w:proofErr w:type="spellStart"/>
      <w:r w:rsidRPr="00CE614E">
        <w:rPr>
          <w:sz w:val="24"/>
          <w:szCs w:val="24"/>
          <w:lang w:val="lt-LT"/>
        </w:rPr>
        <w:t>Kriščiūnaitės</w:t>
      </w:r>
      <w:proofErr w:type="spellEnd"/>
      <w:r w:rsidRPr="00CE614E">
        <w:rPr>
          <w:sz w:val="24"/>
          <w:szCs w:val="24"/>
          <w:lang w:val="lt-LT"/>
        </w:rPr>
        <w:t xml:space="preserve"> 2013 metais atliktame tyrime, kuriame buvo apklausti būsimieji pedagogai, buvo nustatyta, kad respondentų nuomone, mokinių pažangos ir pasiekimų vertinimas yra viena pagrindinių ugdymo proceso sudedamųjų dalių. Būsimieji pedagogai teigė, kad vertinimas yra priemonė padedanti įvertinti mokinio žinias, skatina mokinių tarpusavio konkurenciją, skiepija nuoseklaus darbo įgūdžius, formuoja mokytojo autoritetą. Pasak respondentų vertinimas padeda reguliuoti mokymo(si) tempą, turinį, klasės drausmę ir padeda išsaugoti mokyklos statusą. A. Strakšytės (2008, žr. </w:t>
      </w:r>
      <w:proofErr w:type="spellStart"/>
      <w:r w:rsidRPr="00CE614E">
        <w:rPr>
          <w:sz w:val="24"/>
          <w:szCs w:val="24"/>
          <w:lang w:val="lt-LT"/>
        </w:rPr>
        <w:t>Kriščiūnaitė</w:t>
      </w:r>
      <w:proofErr w:type="spellEnd"/>
      <w:r w:rsidRPr="00CE614E">
        <w:rPr>
          <w:sz w:val="24"/>
          <w:szCs w:val="24"/>
          <w:lang w:val="lt-LT"/>
        </w:rPr>
        <w:t xml:space="preserve">, 2013) teigimu, jei mokyklose vyrauja stipriai išreikšta vertinamoji aplinka, tuomet mokymo sistema grindžiama mokinių konkuravimu. Konkurencija, kaip žinia, nėra teigiamas mikroklimato bruožas, ypatingai mokinių tarpe. A. </w:t>
      </w:r>
      <w:proofErr w:type="spellStart"/>
      <w:r w:rsidRPr="00CE614E">
        <w:rPr>
          <w:sz w:val="24"/>
          <w:szCs w:val="24"/>
          <w:lang w:val="lt-LT"/>
        </w:rPr>
        <w:t>Kriščiūnaitės</w:t>
      </w:r>
      <w:proofErr w:type="spellEnd"/>
      <w:r w:rsidRPr="00CE614E">
        <w:rPr>
          <w:sz w:val="24"/>
          <w:szCs w:val="24"/>
          <w:lang w:val="lt-LT"/>
        </w:rPr>
        <w:t xml:space="preserve"> (2013) teigimu, mokiniai, kuriems nuolat nesiseka, mažiau savimi pasitiki, jaučiasi menkesniais už kitus, jiems mokymasis ima kelti nemalonius jausmus. Toks mokinys, galimai, neteks motyvacijos stengtis, dėl to gali pradėti nebelankyti, nebesiruošti pamokoms ar galutinai sustabdyti muzikinius mokslus. O, pasak P. </w:t>
      </w:r>
      <w:proofErr w:type="spellStart"/>
      <w:r w:rsidRPr="00CE614E">
        <w:rPr>
          <w:sz w:val="24"/>
          <w:szCs w:val="24"/>
          <w:lang w:val="lt-LT"/>
        </w:rPr>
        <w:t>Thorbrietz</w:t>
      </w:r>
      <w:proofErr w:type="spellEnd"/>
      <w:r w:rsidRPr="00CE614E">
        <w:rPr>
          <w:sz w:val="24"/>
          <w:szCs w:val="24"/>
          <w:lang w:val="lt-LT"/>
        </w:rPr>
        <w:t xml:space="preserve"> (2008) kai žmogus ką nors supranta ar išmoksta, pajaučia džiaugsmą, pasitenkinimą. Taip nutinka dėl organizmo išskiriamų </w:t>
      </w:r>
      <w:proofErr w:type="spellStart"/>
      <w:r w:rsidRPr="00CE614E">
        <w:rPr>
          <w:sz w:val="24"/>
          <w:szCs w:val="24"/>
          <w:lang w:val="lt-LT"/>
        </w:rPr>
        <w:t>opioidų</w:t>
      </w:r>
      <w:proofErr w:type="spellEnd"/>
      <w:r w:rsidRPr="00CE614E">
        <w:rPr>
          <w:sz w:val="24"/>
          <w:szCs w:val="24"/>
          <w:lang w:val="lt-LT"/>
        </w:rPr>
        <w:t xml:space="preserve">, kurie yra giminingi morfijui. Šį gerą jausmą, kurį patiriame ką nors pasiekę, smegenys išsaugo ir skatina toliau stengtis. A. </w:t>
      </w:r>
      <w:proofErr w:type="spellStart"/>
      <w:r w:rsidRPr="00CE614E">
        <w:rPr>
          <w:sz w:val="24"/>
          <w:szCs w:val="24"/>
          <w:lang w:val="lt-LT"/>
        </w:rPr>
        <w:t>Kriščiūnaitė</w:t>
      </w:r>
      <w:proofErr w:type="spellEnd"/>
      <w:r w:rsidRPr="00CE614E">
        <w:rPr>
          <w:sz w:val="24"/>
          <w:szCs w:val="24"/>
          <w:lang w:val="lt-LT"/>
        </w:rPr>
        <w:t xml:space="preserve"> (2013) mano, kad tokioje situacijoje svarbus vaidmuo atitenka pedagogui, nes jis formuoja vertinimo proceso pasekmes ir jas gali nukreipti kita linkme, akcentuodamas ne gabumus, o pastangų poveikį mokymosi rezultatams.</w:t>
      </w: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Muzikos pedagogai yra vienas svarbiausių veiksnių, formuojančių muzi</w:t>
      </w:r>
      <w:r>
        <w:rPr>
          <w:sz w:val="24"/>
          <w:szCs w:val="24"/>
          <w:lang w:val="lt-LT"/>
        </w:rPr>
        <w:t>kos mokyklos bruožus, nes nuo pedagogų</w:t>
      </w:r>
      <w:r w:rsidRPr="00CE614E">
        <w:rPr>
          <w:sz w:val="24"/>
          <w:szCs w:val="24"/>
          <w:lang w:val="lt-LT"/>
        </w:rPr>
        <w:t xml:space="preserve"> požiūri</w:t>
      </w:r>
      <w:r>
        <w:rPr>
          <w:sz w:val="24"/>
          <w:szCs w:val="24"/>
          <w:lang w:val="lt-LT"/>
        </w:rPr>
        <w:t xml:space="preserve">o </w:t>
      </w:r>
      <w:r w:rsidRPr="00CE614E">
        <w:rPr>
          <w:sz w:val="24"/>
          <w:szCs w:val="24"/>
          <w:lang w:val="lt-LT"/>
        </w:rPr>
        <w:t xml:space="preserve">į ugdymą, priklauso didžioji dalis muzikos mokyklų ugdymo kokybės. G. </w:t>
      </w:r>
      <w:proofErr w:type="spellStart"/>
      <w:r w:rsidRPr="00CE614E">
        <w:rPr>
          <w:sz w:val="24"/>
          <w:szCs w:val="24"/>
          <w:lang w:val="lt-LT"/>
        </w:rPr>
        <w:t>Gabnytė</w:t>
      </w:r>
      <w:proofErr w:type="spellEnd"/>
      <w:r w:rsidRPr="00CE614E">
        <w:rPr>
          <w:sz w:val="24"/>
          <w:szCs w:val="24"/>
          <w:lang w:val="lt-LT"/>
        </w:rPr>
        <w:t xml:space="preserve"> ir J. Daugėlienė (2013) atliko muzikos mokyklų pedagogų profesinių nuostatų tyrimą, kurio metu pedagogų buvo prašoma šiuos muzikinio ugdymo tikslus sudėlioti eilės tvarka pagal svarbą: A – atliekamo repertuaro išbaigtumas ir </w:t>
      </w:r>
      <w:proofErr w:type="spellStart"/>
      <w:r w:rsidRPr="00CE614E">
        <w:rPr>
          <w:sz w:val="24"/>
          <w:szCs w:val="24"/>
          <w:lang w:val="lt-LT"/>
        </w:rPr>
        <w:t>perfekcija</w:t>
      </w:r>
      <w:proofErr w:type="spellEnd"/>
      <w:r w:rsidRPr="00CE614E">
        <w:rPr>
          <w:sz w:val="24"/>
          <w:szCs w:val="24"/>
          <w:lang w:val="lt-LT"/>
        </w:rPr>
        <w:t xml:space="preserve">, B – domėjimosi muzika skatinimas, C – meninės saviraiškos galimybė, D – asmenybės turtinimas ir branda. Buvo nustatyta, kad  didžioji dalis respondentų  (144 iš 365) svarbiausiu ugdymo tikslu pasirinko – domėjimosi muzika skatinimą (B). Tai įrodo, kad muzikos pedagogams yra svarbu motyvacija ir ji svarbesnė netgi už kūrinių išbaigtumą. Atliekamo repertuaro išbaigtumą ir </w:t>
      </w:r>
      <w:proofErr w:type="spellStart"/>
      <w:r w:rsidRPr="00CE614E">
        <w:rPr>
          <w:sz w:val="24"/>
          <w:szCs w:val="24"/>
          <w:lang w:val="lt-LT"/>
        </w:rPr>
        <w:t>perfekciją</w:t>
      </w:r>
      <w:proofErr w:type="spellEnd"/>
      <w:r w:rsidRPr="00CE614E">
        <w:rPr>
          <w:sz w:val="24"/>
          <w:szCs w:val="24"/>
          <w:lang w:val="lt-LT"/>
        </w:rPr>
        <w:t xml:space="preserve"> (A) pažymėjo tik penktadalis respondentų. Atliekamo repertuaro išbaigtumo ir </w:t>
      </w:r>
      <w:proofErr w:type="spellStart"/>
      <w:r w:rsidRPr="00CE614E">
        <w:rPr>
          <w:sz w:val="24"/>
          <w:szCs w:val="24"/>
          <w:lang w:val="lt-LT"/>
        </w:rPr>
        <w:t>perfekcijos</w:t>
      </w:r>
      <w:proofErr w:type="spellEnd"/>
      <w:r w:rsidRPr="00CE614E">
        <w:rPr>
          <w:sz w:val="24"/>
          <w:szCs w:val="24"/>
          <w:lang w:val="lt-LT"/>
        </w:rPr>
        <w:t xml:space="preserve"> nuostatos buvo tirtos ir atskirai naudojant kiekybinę prieigą. Kiekybiniai šio muzikinio ugdymo aspekto įverčiai parodė, kad repertuaro išbaigtumo ir </w:t>
      </w:r>
      <w:proofErr w:type="spellStart"/>
      <w:r w:rsidRPr="00CE614E">
        <w:rPr>
          <w:sz w:val="24"/>
          <w:szCs w:val="24"/>
          <w:lang w:val="lt-LT"/>
        </w:rPr>
        <w:t>perfekcijos</w:t>
      </w:r>
      <w:proofErr w:type="spellEnd"/>
      <w:r w:rsidRPr="00CE614E">
        <w:rPr>
          <w:sz w:val="24"/>
          <w:szCs w:val="24"/>
          <w:lang w:val="lt-LT"/>
        </w:rPr>
        <w:t xml:space="preserve"> siekį praktikoje naudoja beveik kiekvienas muzikos pedagogas, todėl šis teiginys muzikinio ugdymo erdvėje yra vertinamas kaip dominuojantis. Pastebėta, kad teigiamam požiūriui į atliekamo repertuaro išbaigtumą ir </w:t>
      </w:r>
      <w:proofErr w:type="spellStart"/>
      <w:r w:rsidRPr="00CE614E">
        <w:rPr>
          <w:sz w:val="24"/>
          <w:szCs w:val="24"/>
          <w:lang w:val="lt-LT"/>
        </w:rPr>
        <w:t>perfekciją</w:t>
      </w:r>
      <w:proofErr w:type="spellEnd"/>
      <w:r w:rsidRPr="00CE614E">
        <w:rPr>
          <w:sz w:val="24"/>
          <w:szCs w:val="24"/>
          <w:lang w:val="lt-LT"/>
        </w:rPr>
        <w:t xml:space="preserve"> įtaką daro konkurencinė aplinka ir profesinių kompetencijų ugdymo svarba. Autorės mano, kad pedagogai dirbdami konkurencingoje aplinkoje yra priversti siekti pavyzdinio ugdymo rezultato, o tai neįmanoma be išugdytų mokinio profesinių gebėjimų. </w:t>
      </w: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 xml:space="preserve">G. </w:t>
      </w:r>
      <w:proofErr w:type="spellStart"/>
      <w:r w:rsidRPr="00CE614E">
        <w:rPr>
          <w:sz w:val="24"/>
          <w:szCs w:val="24"/>
          <w:lang w:val="lt-LT"/>
        </w:rPr>
        <w:t>Gabnytė</w:t>
      </w:r>
      <w:proofErr w:type="spellEnd"/>
      <w:r w:rsidRPr="00CE614E">
        <w:rPr>
          <w:sz w:val="24"/>
          <w:szCs w:val="24"/>
          <w:lang w:val="lt-LT"/>
        </w:rPr>
        <w:t xml:space="preserve"> ir J. Daugėlienė (2013) ištyrė ir muzikos pedagogų nuostatas į rankų / kūno nustatymo, pagrindinių įgūdžių svarbą muzikavimo proceso kokybei. 70 proc. muzikos pedagogų išreiškė teigiamą nuostatą ir  pritaria požiūriui, kad rankų ir kūno nustatymas ir įgūdžių formavimas edukacinėje praktikoje yra vienas svarbesnių faktorių., o 26,7 proc., teigė, kad šis faktorius yra svarbus iš dalies. Labiausiai šiai nuostatai pritarė muzikos pedagogai turintys didesnį nei 30 metų darbo stažą, o pedagoginės kvalifikacijos aspektu - mokytojo metodininko kvalifikaciją turintys pedagogai. Autorės analizuodamos šiuos rezultatus interpretuoja, kad tokios nuostatos muzikos pedagogai laikosi ir savo kasdieninės edukacinės praktikos metu. G. </w:t>
      </w:r>
      <w:proofErr w:type="spellStart"/>
      <w:r w:rsidRPr="00CE614E">
        <w:rPr>
          <w:sz w:val="24"/>
          <w:szCs w:val="24"/>
          <w:lang w:val="lt-LT"/>
        </w:rPr>
        <w:t>Gabnytė</w:t>
      </w:r>
      <w:proofErr w:type="spellEnd"/>
      <w:r w:rsidRPr="00CE614E">
        <w:rPr>
          <w:sz w:val="24"/>
          <w:szCs w:val="24"/>
          <w:lang w:val="lt-LT"/>
        </w:rPr>
        <w:t xml:space="preserve"> ir J. Daugėlienė (2013) mano, mokytojams rūpi jų mokinių profesinės kompetencijos, ir todėl klasėje yra grojamas tradicinis repertuaras, siekiama nepriekaištingo jo atlikimo, į rankų ir kūno nustatymą kreipiamas išskirtinis dėmesys. Iš šių požymių autorės sprendžia, kad muzikos mokyklų ugdyme galimos ir edukacinio autoritarizmo apraiškos. Nestebina, kad ištyrus pedagogų nuostatą į edukacinėje praktikoje naudojamus metodus paaiškėjo, kad daugiau nei pusė respondentų savo darbe naudoja konservatyvius metodus, o į metodinių naujovių ieškojimą ar naujos pedagoginės strategijos išbandymą žiūri skeptiškai. G. </w:t>
      </w:r>
      <w:proofErr w:type="spellStart"/>
      <w:r w:rsidRPr="00CE614E">
        <w:rPr>
          <w:sz w:val="24"/>
          <w:szCs w:val="24"/>
          <w:lang w:val="lt-LT"/>
        </w:rPr>
        <w:t>Gabnytė</w:t>
      </w:r>
      <w:proofErr w:type="spellEnd"/>
      <w:r w:rsidRPr="00CE614E">
        <w:rPr>
          <w:sz w:val="24"/>
          <w:szCs w:val="24"/>
          <w:lang w:val="lt-LT"/>
        </w:rPr>
        <w:t xml:space="preserve"> ir J. Daugėlienė (2013) šiame tyrime domėjosi ir muzikos pedagogų nuostata į tradicinį ir šiandieninius mokinio poreikius atitinkantį repertuarą. Analizuojant rezultatus, džiugu tai, kad nors ir pedagogai laiko būtinybe į pedagoginį repertuarą įtraukti klasikinius kūrinius, bet neatmeta galimybės atsižvelgti ir į šiandieninius mokinio poreikius atitinkantį repertuarą.</w:t>
      </w:r>
    </w:p>
    <w:p w:rsidR="00FF4EA9" w:rsidRPr="00CE614E" w:rsidRDefault="00FF4EA9" w:rsidP="00FF4EA9">
      <w:pPr>
        <w:shd w:val="clear" w:color="auto" w:fill="FFFFFF"/>
        <w:spacing w:line="360" w:lineRule="auto"/>
        <w:ind w:firstLine="567"/>
        <w:jc w:val="both"/>
        <w:rPr>
          <w:sz w:val="24"/>
          <w:szCs w:val="24"/>
          <w:lang w:val="lt-LT"/>
        </w:rPr>
      </w:pPr>
      <w:r w:rsidRPr="00CE614E">
        <w:rPr>
          <w:sz w:val="24"/>
          <w:szCs w:val="24"/>
          <w:lang w:val="lt-LT"/>
        </w:rPr>
        <w:t xml:space="preserve">Apžvelgus G. </w:t>
      </w:r>
      <w:proofErr w:type="spellStart"/>
      <w:r w:rsidRPr="00CE614E">
        <w:rPr>
          <w:sz w:val="24"/>
          <w:szCs w:val="24"/>
          <w:lang w:val="lt-LT"/>
        </w:rPr>
        <w:t>Gabnytės</w:t>
      </w:r>
      <w:proofErr w:type="spellEnd"/>
      <w:r w:rsidRPr="00CE614E">
        <w:rPr>
          <w:sz w:val="24"/>
          <w:szCs w:val="24"/>
          <w:lang w:val="lt-LT"/>
        </w:rPr>
        <w:t xml:space="preserve"> ir D. </w:t>
      </w:r>
      <w:proofErr w:type="spellStart"/>
      <w:r w:rsidRPr="00CE614E">
        <w:rPr>
          <w:sz w:val="24"/>
          <w:szCs w:val="24"/>
          <w:lang w:val="lt-LT"/>
        </w:rPr>
        <w:t>Strakšienės</w:t>
      </w:r>
      <w:proofErr w:type="spellEnd"/>
      <w:r w:rsidRPr="00CE614E">
        <w:rPr>
          <w:sz w:val="24"/>
          <w:szCs w:val="24"/>
          <w:lang w:val="lt-LT"/>
        </w:rPr>
        <w:t xml:space="preserve"> (2012), A. </w:t>
      </w:r>
      <w:proofErr w:type="spellStart"/>
      <w:r w:rsidRPr="00CE614E">
        <w:rPr>
          <w:sz w:val="24"/>
          <w:szCs w:val="24"/>
          <w:lang w:val="lt-LT"/>
        </w:rPr>
        <w:t>Kriščiūnaitės</w:t>
      </w:r>
      <w:proofErr w:type="spellEnd"/>
      <w:r w:rsidRPr="00CE614E">
        <w:rPr>
          <w:sz w:val="24"/>
          <w:szCs w:val="24"/>
          <w:lang w:val="lt-LT"/>
        </w:rPr>
        <w:t xml:space="preserve">, D. </w:t>
      </w:r>
      <w:proofErr w:type="spellStart"/>
      <w:r w:rsidRPr="00CE614E">
        <w:rPr>
          <w:sz w:val="24"/>
          <w:szCs w:val="24"/>
          <w:lang w:val="lt-LT"/>
        </w:rPr>
        <w:t>Strakšienės</w:t>
      </w:r>
      <w:proofErr w:type="spellEnd"/>
      <w:r w:rsidRPr="00CE614E">
        <w:rPr>
          <w:sz w:val="24"/>
          <w:szCs w:val="24"/>
          <w:lang w:val="lt-LT"/>
        </w:rPr>
        <w:t xml:space="preserve">, J. Deveikytės (2011), G. </w:t>
      </w:r>
      <w:proofErr w:type="spellStart"/>
      <w:r w:rsidRPr="00CE614E">
        <w:rPr>
          <w:sz w:val="24"/>
          <w:szCs w:val="24"/>
          <w:lang w:val="lt-LT"/>
        </w:rPr>
        <w:t>Gabnytės</w:t>
      </w:r>
      <w:proofErr w:type="spellEnd"/>
      <w:r w:rsidRPr="00CE614E">
        <w:rPr>
          <w:sz w:val="24"/>
          <w:szCs w:val="24"/>
          <w:lang w:val="lt-LT"/>
        </w:rPr>
        <w:t xml:space="preserve"> (2011), R. </w:t>
      </w:r>
      <w:proofErr w:type="spellStart"/>
      <w:r w:rsidRPr="00CE614E">
        <w:rPr>
          <w:sz w:val="24"/>
          <w:szCs w:val="24"/>
          <w:lang w:val="lt-LT"/>
        </w:rPr>
        <w:t>Girdzijauskienės</w:t>
      </w:r>
      <w:proofErr w:type="spellEnd"/>
      <w:r w:rsidRPr="00CE614E">
        <w:rPr>
          <w:sz w:val="24"/>
          <w:szCs w:val="24"/>
          <w:lang w:val="lt-LT"/>
        </w:rPr>
        <w:t xml:space="preserve"> (2008), G. </w:t>
      </w:r>
      <w:proofErr w:type="spellStart"/>
      <w:r w:rsidRPr="00CE614E">
        <w:rPr>
          <w:sz w:val="24"/>
          <w:szCs w:val="24"/>
          <w:lang w:val="lt-LT"/>
        </w:rPr>
        <w:t>Gabnytės</w:t>
      </w:r>
      <w:proofErr w:type="spellEnd"/>
      <w:r w:rsidRPr="00CE614E">
        <w:rPr>
          <w:sz w:val="24"/>
          <w:szCs w:val="24"/>
          <w:lang w:val="lt-LT"/>
        </w:rPr>
        <w:t xml:space="preserve"> ir J. Daugėlienės (2013) mokslinius tyrimus, galima daryti išvadas, </w:t>
      </w:r>
      <w:r>
        <w:rPr>
          <w:sz w:val="24"/>
          <w:szCs w:val="24"/>
          <w:lang w:val="lt-LT"/>
        </w:rPr>
        <w:t xml:space="preserve">kad šiuolaikinė muzikos mokykla, galimai, </w:t>
      </w:r>
      <w:r w:rsidRPr="00CE614E">
        <w:rPr>
          <w:sz w:val="24"/>
          <w:szCs w:val="24"/>
          <w:lang w:val="lt-LT"/>
        </w:rPr>
        <w:t>patiria stagnacijos laikotarp</w:t>
      </w:r>
      <w:r>
        <w:rPr>
          <w:sz w:val="24"/>
          <w:szCs w:val="24"/>
          <w:lang w:val="lt-LT"/>
        </w:rPr>
        <w:t>į,</w:t>
      </w:r>
      <w:r w:rsidRPr="00CE614E">
        <w:rPr>
          <w:sz w:val="24"/>
          <w:szCs w:val="24"/>
          <w:lang w:val="lt-LT"/>
        </w:rPr>
        <w:t xml:space="preserve"> muzikos pedagogai turi tvirtas nuostatas į ugdymą muzikos mokykloje ir jų nekeičia jau kelis dešimtmečius. Nors muzikos mokytojai ir uždari inovacijų sklaidai, bet teigia vien tik klasikiniu repertuaru neapsiribojantys, stengiasi atsižvelgti ir į mokinio poreikius. A. </w:t>
      </w:r>
      <w:proofErr w:type="spellStart"/>
      <w:r w:rsidRPr="00CE614E">
        <w:rPr>
          <w:sz w:val="24"/>
          <w:szCs w:val="24"/>
          <w:lang w:val="lt-LT"/>
        </w:rPr>
        <w:t>Kriščiūnaitės</w:t>
      </w:r>
      <w:proofErr w:type="spellEnd"/>
      <w:r w:rsidRPr="00CE614E">
        <w:rPr>
          <w:sz w:val="24"/>
          <w:szCs w:val="24"/>
          <w:lang w:val="lt-LT"/>
        </w:rPr>
        <w:t xml:space="preserve"> (2013) teigimu neteisinga manyti, kad neformalusis ugdymas tik papildo formalųjį. Autorė teigia, kad tik neformaliojo ugdymo pagalba vaikai gali gauti visapusišką ir pilnavertį išsilavinimą, reikalingą kultūringai asmenybei, galinčiai atsakyti už savo veiksmus bei formuoti daug žadančią Lietuvos Respublikos ateitį.  Tikėtina, kad ateityje ši autorės tezė pasitvirtins ir mokiniai  muzikos mokyklose gaus jų poreikius ir gebėjimus patenkinantį ugdymą. </w:t>
      </w:r>
    </w:p>
    <w:p w:rsidR="00FF4EA9" w:rsidRPr="00CE614E" w:rsidRDefault="00FF4EA9" w:rsidP="00FF4EA9">
      <w:pPr>
        <w:shd w:val="clear" w:color="auto" w:fill="FFFFFF"/>
        <w:spacing w:after="240" w:line="360" w:lineRule="auto"/>
        <w:ind w:right="278"/>
        <w:jc w:val="both"/>
        <w:rPr>
          <w:sz w:val="24"/>
          <w:szCs w:val="24"/>
          <w:lang w:val="lt-LT"/>
        </w:rPr>
      </w:pPr>
    </w:p>
    <w:p w:rsidR="00A628B6" w:rsidRPr="00FF4EA9" w:rsidRDefault="00A628B6">
      <w:pPr>
        <w:rPr>
          <w:lang w:val="lt-LT"/>
        </w:rPr>
      </w:pPr>
    </w:p>
    <w:sectPr w:rsidR="00A628B6" w:rsidRPr="00FF4EA9" w:rsidSect="00A628B6">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4256F"/>
    <w:multiLevelType w:val="hybridMultilevel"/>
    <w:tmpl w:val="D1621C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savePreviewPicture/>
  <w:compat/>
  <w:rsids>
    <w:rsidRoot w:val="00FF4EA9"/>
    <w:rsid w:val="00A628B6"/>
    <w:rsid w:val="00DD4F4C"/>
    <w:rsid w:val="00FF4EA9"/>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EA9"/>
    <w:pPr>
      <w:autoSpaceDE w:val="0"/>
      <w:autoSpaceDN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FF4E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4EA9"/>
    <w:pPr>
      <w:keepNext/>
      <w:keepLines/>
      <w:spacing w:before="40"/>
      <w:jc w:val="center"/>
      <w:outlineLvl w:val="1"/>
    </w:pPr>
    <w:rPr>
      <w:rFonts w:eastAsiaTheme="majorEastAsi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4EA9"/>
    <w:rPr>
      <w:rFonts w:ascii="Times New Roman" w:eastAsiaTheme="majorEastAsia" w:hAnsi="Times New Roman" w:cstheme="majorBidi"/>
      <w:b/>
      <w:sz w:val="24"/>
      <w:szCs w:val="26"/>
      <w:lang w:val="en-US"/>
    </w:rPr>
  </w:style>
  <w:style w:type="paragraph" w:styleId="ListParagraph">
    <w:name w:val="List Paragraph"/>
    <w:basedOn w:val="Normal"/>
    <w:uiPriority w:val="34"/>
    <w:qFormat/>
    <w:rsid w:val="00FF4EA9"/>
    <w:pPr>
      <w:ind w:left="720"/>
      <w:contextualSpacing/>
    </w:pPr>
  </w:style>
  <w:style w:type="character" w:customStyle="1" w:styleId="Heading1Char">
    <w:name w:val="Heading 1 Char"/>
    <w:basedOn w:val="DefaultParagraphFont"/>
    <w:link w:val="Heading1"/>
    <w:rsid w:val="00FF4EA9"/>
    <w:rPr>
      <w:rFonts w:asciiTheme="majorHAnsi" w:eastAsiaTheme="majorEastAsia" w:hAnsiTheme="majorHAnsi" w:cstheme="majorBidi"/>
      <w:b/>
      <w:bCs/>
      <w:color w:val="365F91" w:themeColor="accent1" w:themeShade="BF"/>
      <w:sz w:val="28"/>
      <w:szCs w:val="28"/>
      <w:lang w:val="en-US"/>
    </w:rPr>
  </w:style>
  <w:style w:type="character" w:styleId="Hyperlink">
    <w:name w:val="Hyperlink"/>
    <w:basedOn w:val="DefaultParagraphFont"/>
    <w:uiPriority w:val="99"/>
    <w:unhideWhenUsed/>
    <w:rsid w:val="00FF4EA9"/>
    <w:rPr>
      <w:color w:val="0000FF" w:themeColor="hyperlink"/>
      <w:u w:val="single"/>
    </w:rPr>
  </w:style>
  <w:style w:type="paragraph" w:styleId="TOCHeading">
    <w:name w:val="TOC Heading"/>
    <w:basedOn w:val="Heading1"/>
    <w:next w:val="Normal"/>
    <w:uiPriority w:val="39"/>
    <w:unhideWhenUsed/>
    <w:qFormat/>
    <w:rsid w:val="00FF4EA9"/>
    <w:pPr>
      <w:autoSpaceDE/>
      <w:autoSpaceDN/>
      <w:spacing w:before="240" w:line="259" w:lineRule="auto"/>
      <w:outlineLvl w:val="9"/>
    </w:pPr>
    <w:rPr>
      <w:b w:val="0"/>
      <w:bCs w:val="0"/>
      <w:sz w:val="32"/>
      <w:szCs w:val="32"/>
    </w:rPr>
  </w:style>
  <w:style w:type="paragraph" w:styleId="TOC1">
    <w:name w:val="toc 1"/>
    <w:basedOn w:val="Normal"/>
    <w:next w:val="Normal"/>
    <w:autoRedefine/>
    <w:uiPriority w:val="39"/>
    <w:unhideWhenUsed/>
    <w:rsid w:val="00FF4EA9"/>
    <w:pPr>
      <w:tabs>
        <w:tab w:val="right" w:leader="dot" w:pos="9344"/>
      </w:tabs>
      <w:spacing w:after="100"/>
      <w:jc w:val="both"/>
    </w:pPr>
  </w:style>
  <w:style w:type="paragraph" w:styleId="TOC2">
    <w:name w:val="toc 2"/>
    <w:basedOn w:val="Normal"/>
    <w:next w:val="Normal"/>
    <w:autoRedefine/>
    <w:uiPriority w:val="39"/>
    <w:unhideWhenUsed/>
    <w:rsid w:val="00FF4EA9"/>
    <w:pPr>
      <w:tabs>
        <w:tab w:val="right" w:leader="dot" w:pos="9628"/>
      </w:tabs>
      <w:spacing w:after="100"/>
      <w:ind w:left="200"/>
    </w:pPr>
    <w:rPr>
      <w:noProo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8283</Words>
  <Characters>4722</Characters>
  <Application>Microsoft Office Word</Application>
  <DocSecurity>0</DocSecurity>
  <Lines>39</Lines>
  <Paragraphs>25</Paragraphs>
  <ScaleCrop>false</ScaleCrop>
  <Company/>
  <LinksUpToDate>false</LinksUpToDate>
  <CharactersWithSpaces>12980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dc:creator>
  <cp:lastModifiedBy>Inspiron</cp:lastModifiedBy>
  <cp:revision>1</cp:revision>
  <dcterms:created xsi:type="dcterms:W3CDTF">2016-10-11T19:55:00Z</dcterms:created>
  <dcterms:modified xsi:type="dcterms:W3CDTF">2016-10-11T19:59:00Z</dcterms:modified>
</cp:coreProperties>
</file>